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81" w:rsidRDefault="00F85D81" w:rsidP="00DD1EF4">
      <w:pPr>
        <w:pStyle w:val="1Heading1"/>
        <w:numPr>
          <w:ilvl w:val="0"/>
          <w:numId w:val="0"/>
        </w:numPr>
      </w:pPr>
      <w:bookmarkStart w:id="0" w:name="_Toc386706002"/>
      <w:bookmarkStart w:id="1" w:name="_GoBack"/>
      <w:bookmarkEnd w:id="1"/>
      <w:r>
        <w:t>Slope Paving Crushed Ag</w:t>
      </w:r>
      <w:r w:rsidR="00684E2F">
        <w:t>gregate Special Item SPV.</w:t>
      </w:r>
      <w:r w:rsidR="00AF357B">
        <w:t>0</w:t>
      </w:r>
      <w:r w:rsidR="00684E2F">
        <w:t>180.</w:t>
      </w:r>
      <w:r w:rsidR="00D051E8">
        <w:t>xx</w:t>
      </w:r>
      <w:bookmarkEnd w:id="0"/>
      <w:r w:rsidR="00BE3194">
        <w:t>.</w:t>
      </w:r>
    </w:p>
    <w:p w:rsidR="00F85D81" w:rsidRDefault="00F85D81" w:rsidP="00D051E8">
      <w:pPr>
        <w:widowControl w:val="0"/>
        <w:overflowPunct w:val="0"/>
        <w:autoSpaceDE w:val="0"/>
        <w:autoSpaceDN w:val="0"/>
        <w:adjustRightInd w:val="0"/>
        <w:rPr>
          <w:b/>
          <w:szCs w:val="20"/>
        </w:rPr>
      </w:pPr>
      <w:r>
        <w:rPr>
          <w:b/>
        </w:rPr>
        <w:t xml:space="preserve">A </w:t>
      </w:r>
      <w:r>
        <w:t xml:space="preserve"> </w:t>
      </w:r>
      <w:r>
        <w:rPr>
          <w:b/>
        </w:rPr>
        <w:t>Description</w:t>
      </w:r>
    </w:p>
    <w:p w:rsidR="00F85D81" w:rsidRDefault="00BE3194" w:rsidP="00D051E8">
      <w:pPr>
        <w:widowControl w:val="0"/>
        <w:overflowPunct w:val="0"/>
        <w:autoSpaceDE w:val="0"/>
        <w:autoSpaceDN w:val="0"/>
        <w:adjustRightInd w:val="0"/>
        <w:rPr>
          <w:szCs w:val="20"/>
        </w:rPr>
      </w:pPr>
      <w:r>
        <w:t>This special provision describes f</w:t>
      </w:r>
      <w:r w:rsidR="00F85D81">
        <w:t>urnish</w:t>
      </w:r>
      <w:r>
        <w:t>ing,</w:t>
      </w:r>
      <w:r w:rsidR="00F85D81">
        <w:t xml:space="preserve"> crush</w:t>
      </w:r>
      <w:r>
        <w:t xml:space="preserve">ing, and placing </w:t>
      </w:r>
      <w:r w:rsidR="00F85D81">
        <w:t>aggregate for slope paving</w:t>
      </w:r>
      <w:r>
        <w:t>;</w:t>
      </w:r>
      <w:r w:rsidR="00F85D81">
        <w:t xml:space="preserve"> and a</w:t>
      </w:r>
      <w:r w:rsidR="00843DB6">
        <w:t>pplication of</w:t>
      </w:r>
      <w:r w:rsidR="00F85D81">
        <w:t xml:space="preserve"> an epoxy resin binder with the aggregate</w:t>
      </w:r>
      <w:r w:rsidR="00D051E8">
        <w:t xml:space="preserve"> </w:t>
      </w:r>
      <w:r w:rsidR="00843DB6">
        <w:t>per</w:t>
      </w:r>
      <w:r w:rsidR="00D051E8">
        <w:t xml:space="preserve"> the applicable provisions of standard spec 604</w:t>
      </w:r>
      <w:r w:rsidR="00F85D81">
        <w:t>.</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b/>
          <w:szCs w:val="20"/>
        </w:rPr>
      </w:pPr>
      <w:r>
        <w:rPr>
          <w:b/>
        </w:rPr>
        <w:t>B  Materials</w:t>
      </w:r>
    </w:p>
    <w:p w:rsidR="00F85D81" w:rsidRDefault="00F85D81" w:rsidP="00D051E8">
      <w:pPr>
        <w:widowControl w:val="0"/>
        <w:overflowPunct w:val="0"/>
        <w:autoSpaceDE w:val="0"/>
        <w:autoSpaceDN w:val="0"/>
        <w:adjustRightInd w:val="0"/>
        <w:rPr>
          <w:b/>
          <w:szCs w:val="20"/>
        </w:rPr>
      </w:pPr>
      <w:proofErr w:type="gramStart"/>
      <w:r>
        <w:rPr>
          <w:b/>
        </w:rPr>
        <w:t>B.1</w:t>
      </w:r>
      <w:r>
        <w:t xml:space="preserve">  </w:t>
      </w:r>
      <w:r>
        <w:rPr>
          <w:b/>
        </w:rPr>
        <w:t>General</w:t>
      </w:r>
      <w:proofErr w:type="gramEnd"/>
    </w:p>
    <w:p w:rsidR="00F85D81" w:rsidRDefault="00F85D81" w:rsidP="00D051E8">
      <w:pPr>
        <w:widowControl w:val="0"/>
        <w:overflowPunct w:val="0"/>
        <w:autoSpaceDE w:val="0"/>
        <w:autoSpaceDN w:val="0"/>
        <w:adjustRightInd w:val="0"/>
        <w:rPr>
          <w:szCs w:val="20"/>
        </w:rPr>
      </w:pPr>
      <w:r>
        <w:t>The epoxy resin binder shall be a low modulus, medium-viscosity, two-component epoxy resin.</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r>
        <w:t>Furnish evidence, to the satisfaction of the engineer, that the proposed product has been successfully used in a similar application.</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r>
        <w:t>Epoxy resin binder shall be clear to light amber when fully cured.</w:t>
      </w:r>
    </w:p>
    <w:p w:rsidR="00F85D81" w:rsidRDefault="00F85D81" w:rsidP="00D051E8">
      <w:pPr>
        <w:widowControl w:val="0"/>
        <w:overflowPunct w:val="0"/>
        <w:autoSpaceDE w:val="0"/>
        <w:autoSpaceDN w:val="0"/>
        <w:adjustRightInd w:val="0"/>
        <w:rPr>
          <w:b/>
          <w:szCs w:val="20"/>
        </w:rPr>
      </w:pPr>
    </w:p>
    <w:p w:rsidR="00F85D81" w:rsidRDefault="00F85D81" w:rsidP="00D051E8">
      <w:pPr>
        <w:widowControl w:val="0"/>
        <w:overflowPunct w:val="0"/>
        <w:autoSpaceDE w:val="0"/>
        <w:autoSpaceDN w:val="0"/>
        <w:adjustRightInd w:val="0"/>
        <w:rPr>
          <w:szCs w:val="20"/>
        </w:rPr>
      </w:pPr>
      <w:r>
        <w:t>Crushed aggregate shall be native Wisconsin limestone with hues of tan, amber and gray. Crushed aggregate shall have 100% fractured faces.</w:t>
      </w:r>
    </w:p>
    <w:p w:rsidR="00F85D81" w:rsidRDefault="00F85D81" w:rsidP="00D051E8">
      <w:pPr>
        <w:widowControl w:val="0"/>
        <w:overflowPunct w:val="0"/>
        <w:autoSpaceDE w:val="0"/>
        <w:autoSpaceDN w:val="0"/>
        <w:adjustRightInd w:val="0"/>
        <w:rPr>
          <w:b/>
          <w:szCs w:val="20"/>
        </w:rPr>
      </w:pPr>
      <w:r>
        <w:rPr>
          <w:b/>
        </w:rPr>
        <w:tab/>
      </w:r>
    </w:p>
    <w:p w:rsidR="00F85D81" w:rsidRDefault="00F85D81" w:rsidP="00D051E8">
      <w:pPr>
        <w:suppressAutoHyphens/>
        <w:overflowPunct w:val="0"/>
        <w:autoSpaceDE w:val="0"/>
        <w:autoSpaceDN w:val="0"/>
        <w:adjustRightInd w:val="0"/>
        <w:rPr>
          <w:spacing w:val="-2"/>
        </w:rPr>
      </w:pPr>
      <w:r>
        <w:rPr>
          <w:spacing w:val="-2"/>
        </w:rPr>
        <w:t>Crushed aggregate shall conform to the following nominal requirements:</w:t>
      </w:r>
    </w:p>
    <w:tbl>
      <w:tblPr>
        <w:tblW w:w="0" w:type="auto"/>
        <w:tblInd w:w="1278" w:type="dxa"/>
        <w:tblLook w:val="0000" w:firstRow="0" w:lastRow="0" w:firstColumn="0" w:lastColumn="0" w:noHBand="0" w:noVBand="0"/>
      </w:tblPr>
      <w:tblGrid>
        <w:gridCol w:w="3330"/>
        <w:gridCol w:w="4500"/>
      </w:tblGrid>
      <w:tr w:rsidR="00F85D81" w:rsidRPr="00E96364" w:rsidTr="007A7D1F">
        <w:tc>
          <w:tcPr>
            <w:tcW w:w="3330" w:type="dxa"/>
          </w:tcPr>
          <w:p w:rsidR="00F85D81" w:rsidRPr="00E96364" w:rsidRDefault="00F85D81" w:rsidP="00D051E8">
            <w:pPr>
              <w:pStyle w:val="STSP"/>
              <w:jc w:val="both"/>
              <w:rPr>
                <w:szCs w:val="20"/>
              </w:rPr>
            </w:pPr>
            <w:r w:rsidRPr="00E96364">
              <w:t>Sieve Size</w:t>
            </w:r>
          </w:p>
        </w:tc>
        <w:tc>
          <w:tcPr>
            <w:tcW w:w="4500" w:type="dxa"/>
          </w:tcPr>
          <w:p w:rsidR="00F85D81" w:rsidRPr="00E96364" w:rsidRDefault="00F85D81" w:rsidP="00D051E8">
            <w:pPr>
              <w:pStyle w:val="STSP"/>
              <w:jc w:val="both"/>
              <w:rPr>
                <w:szCs w:val="20"/>
              </w:rPr>
            </w:pPr>
            <w:r w:rsidRPr="00E96364">
              <w:t>Percent by Weight Passing</w:t>
            </w:r>
          </w:p>
        </w:tc>
      </w:tr>
      <w:tr w:rsidR="00F85D81" w:rsidRPr="00E96364" w:rsidTr="007A7D1F">
        <w:tc>
          <w:tcPr>
            <w:tcW w:w="3330" w:type="dxa"/>
          </w:tcPr>
          <w:p w:rsidR="00F85D81" w:rsidRPr="00E96364" w:rsidRDefault="00F85D81" w:rsidP="00D051E8">
            <w:pPr>
              <w:pStyle w:val="STSP"/>
              <w:jc w:val="both"/>
              <w:rPr>
                <w:szCs w:val="20"/>
              </w:rPr>
            </w:pPr>
            <w:r w:rsidRPr="00E96364">
              <w:t>4-Inch</w:t>
            </w:r>
          </w:p>
        </w:tc>
        <w:tc>
          <w:tcPr>
            <w:tcW w:w="4500" w:type="dxa"/>
          </w:tcPr>
          <w:p w:rsidR="00F85D81" w:rsidRPr="00DB3362" w:rsidRDefault="00F85D81" w:rsidP="00D051E8">
            <w:pPr>
              <w:pStyle w:val="STSP"/>
              <w:jc w:val="both"/>
              <w:rPr>
                <w:szCs w:val="20"/>
              </w:rPr>
            </w:pPr>
            <w:r w:rsidRPr="00DB3362">
              <w:t>100</w:t>
            </w:r>
          </w:p>
        </w:tc>
      </w:tr>
      <w:tr w:rsidR="00F85D81" w:rsidRPr="00E96364" w:rsidTr="007A7D1F">
        <w:tc>
          <w:tcPr>
            <w:tcW w:w="3330" w:type="dxa"/>
          </w:tcPr>
          <w:p w:rsidR="00F85D81" w:rsidRPr="00E96364" w:rsidRDefault="00F85D81" w:rsidP="00D051E8">
            <w:pPr>
              <w:pStyle w:val="STSP"/>
              <w:jc w:val="both"/>
              <w:rPr>
                <w:szCs w:val="20"/>
              </w:rPr>
            </w:pPr>
            <w:r w:rsidRPr="00E96364">
              <w:t>1-Inch</w:t>
            </w:r>
          </w:p>
        </w:tc>
        <w:tc>
          <w:tcPr>
            <w:tcW w:w="4500" w:type="dxa"/>
          </w:tcPr>
          <w:p w:rsidR="00F85D81" w:rsidRPr="00DB3362" w:rsidRDefault="00F85D81" w:rsidP="00D051E8">
            <w:pPr>
              <w:pStyle w:val="STSP"/>
              <w:jc w:val="both"/>
              <w:rPr>
                <w:szCs w:val="20"/>
              </w:rPr>
            </w:pPr>
            <w:r w:rsidRPr="00DB3362">
              <w:t>0-25</w:t>
            </w:r>
          </w:p>
        </w:tc>
      </w:tr>
    </w:tbl>
    <w:p w:rsidR="00F85D81" w:rsidRDefault="00F85D81" w:rsidP="00D051E8">
      <w:pPr>
        <w:suppressAutoHyphens/>
        <w:overflowPunct w:val="0"/>
        <w:autoSpaceDE w:val="0"/>
        <w:autoSpaceDN w:val="0"/>
        <w:adjustRightInd w:val="0"/>
        <w:rPr>
          <w:spacing w:val="-2"/>
          <w:szCs w:val="20"/>
        </w:rPr>
      </w:pPr>
    </w:p>
    <w:p w:rsidR="00F85D81" w:rsidRDefault="00F85D81" w:rsidP="00D051E8">
      <w:pPr>
        <w:widowControl w:val="0"/>
        <w:overflowPunct w:val="0"/>
        <w:autoSpaceDE w:val="0"/>
        <w:autoSpaceDN w:val="0"/>
        <w:adjustRightInd w:val="0"/>
        <w:rPr>
          <w:b/>
          <w:szCs w:val="20"/>
        </w:rPr>
      </w:pPr>
      <w:proofErr w:type="gramStart"/>
      <w:r>
        <w:rPr>
          <w:b/>
        </w:rPr>
        <w:t>B.2  Minimum</w:t>
      </w:r>
      <w:proofErr w:type="gramEnd"/>
      <w:r>
        <w:rPr>
          <w:b/>
        </w:rPr>
        <w:t xml:space="preserve"> Requirements.</w:t>
      </w:r>
    </w:p>
    <w:p w:rsidR="00F85D81" w:rsidRDefault="00F85D81" w:rsidP="00D051E8">
      <w:pPr>
        <w:widowControl w:val="0"/>
        <w:overflowPunct w:val="0"/>
        <w:autoSpaceDE w:val="0"/>
        <w:autoSpaceDN w:val="0"/>
        <w:adjustRightInd w:val="0"/>
        <w:rPr>
          <w:szCs w:val="20"/>
        </w:rPr>
      </w:pPr>
      <w:r>
        <w:t xml:space="preserve">The epoxy resin binder </w:t>
      </w:r>
      <w:r w:rsidR="00843DB6">
        <w:t>shall conform to ASTM C</w:t>
      </w:r>
      <w:r>
        <w:t>881 and AASHTO M235 specifications and the following requirements:</w:t>
      </w:r>
    </w:p>
    <w:p w:rsidR="00F85D81" w:rsidRDefault="00843DB6" w:rsidP="00D051E8">
      <w:pPr>
        <w:widowControl w:val="0"/>
        <w:numPr>
          <w:ilvl w:val="0"/>
          <w:numId w:val="2"/>
        </w:numPr>
        <w:tabs>
          <w:tab w:val="clear" w:pos="1440"/>
          <w:tab w:val="num" w:pos="1080"/>
        </w:tabs>
        <w:overflowPunct w:val="0"/>
        <w:autoSpaceDE w:val="0"/>
        <w:autoSpaceDN w:val="0"/>
        <w:adjustRightInd w:val="0"/>
        <w:ind w:left="1080"/>
        <w:rPr>
          <w:szCs w:val="20"/>
        </w:rPr>
      </w:pPr>
      <w:r>
        <w:t>Total water absorption, ASTM D</w:t>
      </w:r>
      <w:r w:rsidR="00F85D81">
        <w:t>570</w:t>
      </w:r>
    </w:p>
    <w:p w:rsidR="00F85D81" w:rsidRDefault="00F85D81" w:rsidP="00D051E8">
      <w:pPr>
        <w:widowControl w:val="0"/>
        <w:tabs>
          <w:tab w:val="num" w:pos="1080"/>
        </w:tabs>
        <w:overflowPunct w:val="0"/>
        <w:autoSpaceDE w:val="0"/>
        <w:autoSpaceDN w:val="0"/>
        <w:adjustRightInd w:val="0"/>
        <w:ind w:left="1080"/>
        <w:rPr>
          <w:szCs w:val="20"/>
        </w:rPr>
      </w:pPr>
      <w:r>
        <w:tab/>
        <w:t>7 day, 1.3% (2 hour boil)</w:t>
      </w:r>
    </w:p>
    <w:p w:rsidR="00F85D81" w:rsidRDefault="00F85D81" w:rsidP="00D051E8">
      <w:pPr>
        <w:widowControl w:val="0"/>
        <w:tabs>
          <w:tab w:val="num" w:pos="1080"/>
        </w:tabs>
        <w:overflowPunct w:val="0"/>
        <w:autoSpaceDE w:val="0"/>
        <w:autoSpaceDN w:val="0"/>
        <w:adjustRightInd w:val="0"/>
        <w:ind w:left="1080"/>
        <w:rPr>
          <w:szCs w:val="20"/>
        </w:rPr>
      </w:pPr>
      <w:r>
        <w:tab/>
        <w:t>14 day, 0.232% (24 hour immersion)</w:t>
      </w:r>
    </w:p>
    <w:p w:rsidR="00F85D81" w:rsidRDefault="00F85D81" w:rsidP="00D051E8">
      <w:pPr>
        <w:widowControl w:val="0"/>
        <w:tabs>
          <w:tab w:val="num" w:pos="1080"/>
        </w:tabs>
        <w:overflowPunct w:val="0"/>
        <w:autoSpaceDE w:val="0"/>
        <w:autoSpaceDN w:val="0"/>
        <w:adjustRightInd w:val="0"/>
        <w:ind w:left="1080"/>
        <w:rPr>
          <w:szCs w:val="20"/>
        </w:rPr>
      </w:pPr>
      <w:r>
        <w:tab/>
        <w:t>Viscosity:  2,500 cps</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b/>
          <w:szCs w:val="20"/>
        </w:rPr>
      </w:pPr>
      <w:r>
        <w:rPr>
          <w:b/>
        </w:rPr>
        <w:t>C. Construction</w:t>
      </w:r>
    </w:p>
    <w:p w:rsidR="00F85D81" w:rsidRDefault="00F85D81" w:rsidP="00D051E8">
      <w:pPr>
        <w:widowControl w:val="0"/>
        <w:overflowPunct w:val="0"/>
        <w:autoSpaceDE w:val="0"/>
        <w:autoSpaceDN w:val="0"/>
        <w:adjustRightInd w:val="0"/>
        <w:rPr>
          <w:b/>
          <w:szCs w:val="20"/>
        </w:rPr>
      </w:pPr>
      <w:proofErr w:type="gramStart"/>
      <w:r>
        <w:rPr>
          <w:b/>
        </w:rPr>
        <w:t>C.1  Application</w:t>
      </w:r>
      <w:proofErr w:type="gramEnd"/>
    </w:p>
    <w:p w:rsidR="00F85D81" w:rsidRPr="00042463" w:rsidRDefault="00F85D81" w:rsidP="00D051E8">
      <w:pPr>
        <w:widowControl w:val="0"/>
        <w:overflowPunct w:val="0"/>
        <w:autoSpaceDE w:val="0"/>
        <w:autoSpaceDN w:val="0"/>
        <w:adjustRightInd w:val="0"/>
        <w:rPr>
          <w:szCs w:val="20"/>
        </w:rPr>
      </w:pPr>
      <w:r w:rsidRPr="00042463">
        <w:t xml:space="preserve">The binder shall be applied </w:t>
      </w:r>
      <w:r w:rsidR="00843DB6">
        <w:t>per</w:t>
      </w:r>
      <w:r w:rsidRPr="00042463">
        <w:t xml:space="preserve"> the manufacturer's directions, uniformly over the surface of the paving at a rate sufficient to assure penetration and binding of the particles in the upper 2 inches of the aggregate blanket</w:t>
      </w:r>
      <w:r>
        <w:t xml:space="preserve">. </w:t>
      </w:r>
      <w:r w:rsidRPr="00042463">
        <w:t>Application of the binder shall take place utilizing a two part sprayer with mixing completed at the nozzle</w:t>
      </w:r>
      <w:r>
        <w:t xml:space="preserve">. </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r>
        <w:t>Apply and mix epoxy resin binder under dry conditions only. Do not apply if rain is expected within 8 hours following epoxy resin application to crushed aggregate.</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r>
        <w:t>Air and surface temperature should be between 50 and 90 degrees Fahrenheit during and for 24 hours following application and mixing of the epoxy resin binder.</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r>
        <w:t>Protect installed crushed aggregate with epoxy resin binder from excessive dust exposure for the first 4 hours of curing.</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proofErr w:type="gramStart"/>
      <w:r>
        <w:rPr>
          <w:b/>
        </w:rPr>
        <w:t>C.2</w:t>
      </w:r>
      <w:r>
        <w:t xml:space="preserve">  </w:t>
      </w:r>
      <w:r>
        <w:rPr>
          <w:b/>
        </w:rPr>
        <w:t>Test</w:t>
      </w:r>
      <w:proofErr w:type="gramEnd"/>
      <w:r>
        <w:rPr>
          <w:b/>
        </w:rPr>
        <w:t xml:space="preserve"> Section</w:t>
      </w:r>
    </w:p>
    <w:p w:rsidR="00F85D81" w:rsidRDefault="00F85D81" w:rsidP="00D051E8">
      <w:pPr>
        <w:widowControl w:val="0"/>
        <w:overflowPunct w:val="0"/>
        <w:autoSpaceDE w:val="0"/>
        <w:autoSpaceDN w:val="0"/>
        <w:adjustRightInd w:val="0"/>
        <w:rPr>
          <w:szCs w:val="20"/>
        </w:rPr>
      </w:pPr>
      <w:r>
        <w:t>Prior to placing slope paving, prepare a test section utilizing the proposed aggregate and epoxy resin binder so the engineer will be able to assess the adequacy of the product and the application and mixing methods to yield the desire</w:t>
      </w:r>
      <w:r w:rsidR="00843DB6">
        <w:t xml:space="preserve">d results. Test section to be 3 feet x 3 </w:t>
      </w:r>
      <w:r>
        <w:t xml:space="preserve">feet and a minimum of 4-inches thick. Notify the engineer no less than 24 hours in advance of preparing the test section to allow him time to arrange for witnessing the epoxy resin binder application and mixing with the aggregate. Test section shall be allowed to cure </w:t>
      </w:r>
      <w:r w:rsidR="00843DB6">
        <w:t>per the</w:t>
      </w:r>
      <w:r>
        <w:t xml:space="preserve"> product manufacturer’s requirements before the engineer will accept the product for use on the final structures.</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szCs w:val="20"/>
        </w:rPr>
      </w:pPr>
      <w:r>
        <w:t xml:space="preserve">If the test section is not accepted, prepare another test section and repeat the process, using either a different aggregate or epoxy resin binder. Repeat this procedure until the engineer accepts the test section. Use the same aggregate and epoxy resin binder means and methods when installing the product under each structure that were used in preparing the accepted test section. </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b/>
          <w:szCs w:val="20"/>
        </w:rPr>
      </w:pPr>
      <w:r>
        <w:rPr>
          <w:b/>
        </w:rPr>
        <w:t>D  Measurement</w:t>
      </w:r>
    </w:p>
    <w:p w:rsidR="00F85D81" w:rsidRDefault="00F85D81" w:rsidP="00D051E8">
      <w:pPr>
        <w:widowControl w:val="0"/>
        <w:overflowPunct w:val="0"/>
        <w:autoSpaceDE w:val="0"/>
        <w:autoSpaceDN w:val="0"/>
        <w:adjustRightInd w:val="0"/>
        <w:rPr>
          <w:szCs w:val="20"/>
        </w:rPr>
      </w:pPr>
      <w:r>
        <w:t>The department will measure Slope Paving Crushed Aggregate Special by the square yard in place acceptably completed.</w:t>
      </w:r>
    </w:p>
    <w:p w:rsidR="00F85D81" w:rsidRDefault="00F85D81" w:rsidP="00D051E8">
      <w:pPr>
        <w:widowControl w:val="0"/>
        <w:overflowPunct w:val="0"/>
        <w:autoSpaceDE w:val="0"/>
        <w:autoSpaceDN w:val="0"/>
        <w:adjustRightInd w:val="0"/>
        <w:rPr>
          <w:szCs w:val="20"/>
        </w:rPr>
      </w:pPr>
    </w:p>
    <w:p w:rsidR="00F85D81" w:rsidRDefault="00F85D81" w:rsidP="00D051E8">
      <w:pPr>
        <w:widowControl w:val="0"/>
        <w:overflowPunct w:val="0"/>
        <w:autoSpaceDE w:val="0"/>
        <w:autoSpaceDN w:val="0"/>
        <w:adjustRightInd w:val="0"/>
        <w:rPr>
          <w:b/>
          <w:szCs w:val="20"/>
        </w:rPr>
      </w:pPr>
      <w:r>
        <w:rPr>
          <w:b/>
        </w:rPr>
        <w:t>E  Payment</w:t>
      </w:r>
    </w:p>
    <w:p w:rsidR="00F85D81" w:rsidRDefault="00F85D81" w:rsidP="00D051E8">
      <w:pPr>
        <w:widowControl w:val="0"/>
        <w:overflowPunct w:val="0"/>
        <w:autoSpaceDE w:val="0"/>
        <w:autoSpaceDN w:val="0"/>
        <w:adjustRightInd w:val="0"/>
        <w:rPr>
          <w:szCs w:val="20"/>
        </w:rPr>
      </w:pPr>
      <w:r>
        <w:t>The department will pay for measured quantities at the contract unit price under the following bid item:</w:t>
      </w:r>
    </w:p>
    <w:tbl>
      <w:tblPr>
        <w:tblW w:w="8010" w:type="dxa"/>
        <w:tblInd w:w="738" w:type="dxa"/>
        <w:tblLayout w:type="fixed"/>
        <w:tblLook w:val="0000" w:firstRow="0" w:lastRow="0" w:firstColumn="0" w:lastColumn="0" w:noHBand="0" w:noVBand="0"/>
      </w:tblPr>
      <w:tblGrid>
        <w:gridCol w:w="1980"/>
        <w:gridCol w:w="4860"/>
        <w:gridCol w:w="1170"/>
      </w:tblGrid>
      <w:tr w:rsidR="00F85D81" w:rsidTr="007A7D1F">
        <w:tc>
          <w:tcPr>
            <w:tcW w:w="1980" w:type="dxa"/>
          </w:tcPr>
          <w:p w:rsidR="00F85D81" w:rsidRDefault="00F85D81" w:rsidP="00D051E8">
            <w:pPr>
              <w:keepLines/>
              <w:suppressAutoHyphens/>
              <w:overflowPunct w:val="0"/>
              <w:autoSpaceDE w:val="0"/>
              <w:autoSpaceDN w:val="0"/>
              <w:adjustRightInd w:val="0"/>
              <w:ind w:left="0"/>
              <w:rPr>
                <w:spacing w:val="-2"/>
                <w:szCs w:val="20"/>
              </w:rPr>
            </w:pPr>
            <w:r>
              <w:rPr>
                <w:spacing w:val="-2"/>
              </w:rPr>
              <w:t>ITEM NUMBER</w:t>
            </w:r>
          </w:p>
        </w:tc>
        <w:tc>
          <w:tcPr>
            <w:tcW w:w="4860" w:type="dxa"/>
          </w:tcPr>
          <w:p w:rsidR="00F85D81" w:rsidRDefault="00F85D81" w:rsidP="00D051E8">
            <w:pPr>
              <w:pStyle w:val="Header"/>
              <w:keepLines/>
              <w:suppressAutoHyphens/>
              <w:overflowPunct w:val="0"/>
              <w:autoSpaceDE w:val="0"/>
              <w:autoSpaceDN w:val="0"/>
              <w:adjustRightInd w:val="0"/>
              <w:ind w:left="0"/>
              <w:rPr>
                <w:spacing w:val="-2"/>
                <w:szCs w:val="20"/>
              </w:rPr>
            </w:pPr>
            <w:r>
              <w:rPr>
                <w:spacing w:val="-2"/>
              </w:rPr>
              <w:t>DESCRIPTION</w:t>
            </w:r>
          </w:p>
        </w:tc>
        <w:tc>
          <w:tcPr>
            <w:tcW w:w="1170" w:type="dxa"/>
          </w:tcPr>
          <w:p w:rsidR="00F85D81" w:rsidRDefault="00F85D81" w:rsidP="00D051E8">
            <w:pPr>
              <w:pStyle w:val="Header"/>
              <w:keepLines/>
              <w:suppressAutoHyphens/>
              <w:overflowPunct w:val="0"/>
              <w:autoSpaceDE w:val="0"/>
              <w:autoSpaceDN w:val="0"/>
              <w:adjustRightInd w:val="0"/>
              <w:ind w:left="0"/>
              <w:rPr>
                <w:spacing w:val="-2"/>
                <w:szCs w:val="20"/>
              </w:rPr>
            </w:pPr>
            <w:r>
              <w:rPr>
                <w:spacing w:val="-2"/>
              </w:rPr>
              <w:t>UNIT</w:t>
            </w:r>
          </w:p>
        </w:tc>
      </w:tr>
      <w:tr w:rsidR="00F85D81" w:rsidTr="007A7D1F">
        <w:tc>
          <w:tcPr>
            <w:tcW w:w="1980" w:type="dxa"/>
          </w:tcPr>
          <w:p w:rsidR="00F85D81" w:rsidRDefault="00F85D81" w:rsidP="00D051E8">
            <w:pPr>
              <w:keepLines/>
              <w:suppressAutoHyphens/>
              <w:overflowPunct w:val="0"/>
              <w:autoSpaceDE w:val="0"/>
              <w:autoSpaceDN w:val="0"/>
              <w:adjustRightInd w:val="0"/>
              <w:ind w:left="0"/>
              <w:rPr>
                <w:spacing w:val="-2"/>
                <w:szCs w:val="20"/>
              </w:rPr>
            </w:pPr>
            <w:r>
              <w:t>SPV.</w:t>
            </w:r>
            <w:r w:rsidR="00BE3194">
              <w:t>0</w:t>
            </w:r>
            <w:r>
              <w:t>180.</w:t>
            </w:r>
            <w:r w:rsidR="00D051E8">
              <w:t>xx</w:t>
            </w:r>
          </w:p>
        </w:tc>
        <w:tc>
          <w:tcPr>
            <w:tcW w:w="4860" w:type="dxa"/>
          </w:tcPr>
          <w:p w:rsidR="00F85D81" w:rsidRDefault="00F85D81" w:rsidP="00D051E8">
            <w:pPr>
              <w:keepLines/>
              <w:suppressAutoHyphens/>
              <w:overflowPunct w:val="0"/>
              <w:autoSpaceDE w:val="0"/>
              <w:autoSpaceDN w:val="0"/>
              <w:adjustRightInd w:val="0"/>
              <w:ind w:left="0"/>
              <w:rPr>
                <w:spacing w:val="-2"/>
                <w:szCs w:val="20"/>
              </w:rPr>
            </w:pPr>
            <w:r>
              <w:t>Slope Paving Crushed Aggregate Special</w:t>
            </w:r>
          </w:p>
        </w:tc>
        <w:tc>
          <w:tcPr>
            <w:tcW w:w="1170" w:type="dxa"/>
          </w:tcPr>
          <w:p w:rsidR="00F85D81" w:rsidRDefault="00F85D81" w:rsidP="00D051E8">
            <w:pPr>
              <w:keepLines/>
              <w:suppressAutoHyphens/>
              <w:overflowPunct w:val="0"/>
              <w:autoSpaceDE w:val="0"/>
              <w:autoSpaceDN w:val="0"/>
              <w:adjustRightInd w:val="0"/>
              <w:ind w:left="0"/>
              <w:rPr>
                <w:spacing w:val="-2"/>
                <w:szCs w:val="20"/>
              </w:rPr>
            </w:pPr>
            <w:r>
              <w:rPr>
                <w:spacing w:val="-2"/>
              </w:rPr>
              <w:t>SY</w:t>
            </w:r>
          </w:p>
        </w:tc>
      </w:tr>
    </w:tbl>
    <w:p w:rsidR="00F85D81" w:rsidRDefault="00F85D81" w:rsidP="00D051E8"/>
    <w:p w:rsidR="00F85D81" w:rsidRDefault="00F85D81" w:rsidP="00D051E8">
      <w:r>
        <w:t xml:space="preserve">Payment </w:t>
      </w:r>
      <w:r w:rsidR="00BE3194">
        <w:t xml:space="preserve">for Slope Paving Crushed Aggregate Special </w:t>
      </w:r>
      <w:r>
        <w:t xml:space="preserve">is full compensation for furnishing, crushing and placing crushed aggregate; for furnishing, mixing and applying the epoxy resin binder to the aggregate; for preparing the subsurface; for cleaning any splatter of epoxy resin binder to adjacent pavement or structures; </w:t>
      </w:r>
      <w:r w:rsidR="00843DB6">
        <w:t xml:space="preserve">and </w:t>
      </w:r>
      <w:r>
        <w:t>for making an</w:t>
      </w:r>
      <w:r w:rsidR="00E14445">
        <w:t>d disposing of the test section.</w:t>
      </w:r>
    </w:p>
    <w:p w:rsidR="00F85D81" w:rsidRPr="00490D35" w:rsidRDefault="00F85D81" w:rsidP="00D051E8"/>
    <w:p w:rsidR="00EB61E3" w:rsidRDefault="00EB61E3" w:rsidP="00D051E8"/>
    <w:sectPr w:rsidR="00EB61E3" w:rsidSect="00D051E8">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00F4C"/>
    <w:multiLevelType w:val="hybridMultilevel"/>
    <w:tmpl w:val="2C4CB94A"/>
    <w:lvl w:ilvl="0" w:tplc="16E0E6A4">
      <w:start w:val="1"/>
      <w:numFmt w:val="bullet"/>
      <w:lvlText w:val=""/>
      <w:lvlJc w:val="left"/>
      <w:pPr>
        <w:tabs>
          <w:tab w:val="num" w:pos="1440"/>
        </w:tabs>
        <w:ind w:left="1440" w:hanging="360"/>
      </w:pPr>
      <w:rPr>
        <w:rFonts w:ascii="Symbol" w:hAnsi="Symbol" w:hint="default"/>
      </w:rPr>
    </w:lvl>
    <w:lvl w:ilvl="1" w:tplc="AC689332">
      <w:start w:val="1"/>
      <w:numFmt w:val="decimal"/>
      <w:lvlText w:val="%2."/>
      <w:lvlJc w:val="left"/>
      <w:pPr>
        <w:tabs>
          <w:tab w:val="num" w:pos="1440"/>
        </w:tabs>
        <w:ind w:left="1440" w:hanging="360"/>
      </w:pPr>
    </w:lvl>
    <w:lvl w:ilvl="2" w:tplc="54C8D720">
      <w:start w:val="1"/>
      <w:numFmt w:val="decimal"/>
      <w:lvlText w:val="%3."/>
      <w:lvlJc w:val="left"/>
      <w:pPr>
        <w:tabs>
          <w:tab w:val="num" w:pos="2160"/>
        </w:tabs>
        <w:ind w:left="2160" w:hanging="360"/>
      </w:pPr>
    </w:lvl>
    <w:lvl w:ilvl="3" w:tplc="8786B200">
      <w:start w:val="1"/>
      <w:numFmt w:val="decimal"/>
      <w:lvlText w:val="%4."/>
      <w:lvlJc w:val="left"/>
      <w:pPr>
        <w:tabs>
          <w:tab w:val="num" w:pos="2880"/>
        </w:tabs>
        <w:ind w:left="2880" w:hanging="360"/>
      </w:pPr>
    </w:lvl>
    <w:lvl w:ilvl="4" w:tplc="4470E906">
      <w:start w:val="1"/>
      <w:numFmt w:val="decimal"/>
      <w:lvlText w:val="%5."/>
      <w:lvlJc w:val="left"/>
      <w:pPr>
        <w:tabs>
          <w:tab w:val="num" w:pos="3600"/>
        </w:tabs>
        <w:ind w:left="3600" w:hanging="360"/>
      </w:pPr>
    </w:lvl>
    <w:lvl w:ilvl="5" w:tplc="1298BB08">
      <w:start w:val="1"/>
      <w:numFmt w:val="decimal"/>
      <w:lvlText w:val="%6."/>
      <w:lvlJc w:val="left"/>
      <w:pPr>
        <w:tabs>
          <w:tab w:val="num" w:pos="4320"/>
        </w:tabs>
        <w:ind w:left="4320" w:hanging="360"/>
      </w:pPr>
    </w:lvl>
    <w:lvl w:ilvl="6" w:tplc="D7C2A6C8">
      <w:start w:val="1"/>
      <w:numFmt w:val="decimal"/>
      <w:lvlText w:val="%7."/>
      <w:lvlJc w:val="left"/>
      <w:pPr>
        <w:tabs>
          <w:tab w:val="num" w:pos="5040"/>
        </w:tabs>
        <w:ind w:left="5040" w:hanging="360"/>
      </w:pPr>
    </w:lvl>
    <w:lvl w:ilvl="7" w:tplc="B656AEB8">
      <w:start w:val="1"/>
      <w:numFmt w:val="decimal"/>
      <w:lvlText w:val="%8."/>
      <w:lvlJc w:val="left"/>
      <w:pPr>
        <w:tabs>
          <w:tab w:val="num" w:pos="5760"/>
        </w:tabs>
        <w:ind w:left="5760" w:hanging="360"/>
      </w:pPr>
    </w:lvl>
    <w:lvl w:ilvl="8" w:tplc="52B68AE0">
      <w:start w:val="1"/>
      <w:numFmt w:val="decimal"/>
      <w:lvlText w:val="%9."/>
      <w:lvlJc w:val="left"/>
      <w:pPr>
        <w:tabs>
          <w:tab w:val="num" w:pos="6480"/>
        </w:tabs>
        <w:ind w:left="6480" w:hanging="360"/>
      </w:pPr>
    </w:lvl>
  </w:abstractNum>
  <w:abstractNum w:abstractNumId="1" w15:restartNumberingAfterBreak="0">
    <w:nsid w:val="3EAF01F0"/>
    <w:multiLevelType w:val="hybridMultilevel"/>
    <w:tmpl w:val="17A68040"/>
    <w:lvl w:ilvl="0" w:tplc="FA6C9A10">
      <w:start w:val="1"/>
      <w:numFmt w:val="decimal"/>
      <w:pStyle w:val="1Heading1"/>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81"/>
    <w:rsid w:val="0033152B"/>
    <w:rsid w:val="003B0415"/>
    <w:rsid w:val="00684E2F"/>
    <w:rsid w:val="00843DB6"/>
    <w:rsid w:val="00AF357B"/>
    <w:rsid w:val="00BE3194"/>
    <w:rsid w:val="00D051E8"/>
    <w:rsid w:val="00DD1EF4"/>
    <w:rsid w:val="00E03BBB"/>
    <w:rsid w:val="00E14445"/>
    <w:rsid w:val="00EB61E3"/>
    <w:rsid w:val="00F8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BC992-51D7-4E30-B8D6-6562989D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81"/>
    <w:pPr>
      <w:spacing w:after="0" w:line="240" w:lineRule="auto"/>
      <w:ind w:left="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5D81"/>
    <w:pPr>
      <w:tabs>
        <w:tab w:val="center" w:pos="4680"/>
        <w:tab w:val="right" w:pos="9360"/>
      </w:tabs>
    </w:pPr>
  </w:style>
  <w:style w:type="character" w:customStyle="1" w:styleId="HeaderChar">
    <w:name w:val="Header Char"/>
    <w:basedOn w:val="DefaultParagraphFont"/>
    <w:link w:val="Header"/>
    <w:rsid w:val="00F85D81"/>
    <w:rPr>
      <w:rFonts w:ascii="Times New Roman" w:hAnsi="Times New Roman" w:cs="Times New Roman"/>
      <w:sz w:val="24"/>
      <w:szCs w:val="24"/>
    </w:rPr>
  </w:style>
  <w:style w:type="paragraph" w:customStyle="1" w:styleId="1Heading1">
    <w:name w:val="1 Heading 1"/>
    <w:basedOn w:val="Normal"/>
    <w:link w:val="1Heading1Char"/>
    <w:qFormat/>
    <w:rsid w:val="00F85D81"/>
    <w:pPr>
      <w:numPr>
        <w:numId w:val="1"/>
      </w:numPr>
      <w:tabs>
        <w:tab w:val="center" w:pos="4680"/>
        <w:tab w:val="right" w:pos="9270"/>
      </w:tabs>
      <w:spacing w:before="240" w:after="240"/>
      <w:ind w:hanging="720"/>
      <w:jc w:val="left"/>
      <w:outlineLvl w:val="0"/>
    </w:pPr>
    <w:rPr>
      <w:b/>
      <w:sz w:val="28"/>
      <w:szCs w:val="28"/>
    </w:rPr>
  </w:style>
  <w:style w:type="paragraph" w:customStyle="1" w:styleId="STSP">
    <w:name w:val="STSP"/>
    <w:qFormat/>
    <w:rsid w:val="00F85D81"/>
    <w:pPr>
      <w:tabs>
        <w:tab w:val="left" w:pos="432"/>
      </w:tabs>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rsid w:val="00F85D81"/>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6D0F-AB79-4478-BCAD-5FF602964BD1}"/>
</file>

<file path=customXml/itemProps2.xml><?xml version="1.0" encoding="utf-8"?>
<ds:datastoreItem xmlns:ds="http://schemas.openxmlformats.org/officeDocument/2006/customXml" ds:itemID="{AAF3801E-8ACB-4211-8B35-951690102ADC}"/>
</file>

<file path=customXml/itemProps3.xml><?xml version="1.0" encoding="utf-8"?>
<ds:datastoreItem xmlns:ds="http://schemas.openxmlformats.org/officeDocument/2006/customXml" ds:itemID="{FA933058-8544-494E-AE60-CED200339DE8}"/>
</file>

<file path=docProps/app.xml><?xml version="1.0" encoding="utf-8"?>
<Properties xmlns="http://schemas.openxmlformats.org/officeDocument/2006/extended-properties" xmlns:vt="http://schemas.openxmlformats.org/officeDocument/2006/docPropsVTypes">
  <Template>Normal.dotm</Template>
  <TotalTime>7</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 Cashin</dc:creator>
  <cp:lastModifiedBy>BONK, AARON M</cp:lastModifiedBy>
  <cp:revision>7</cp:revision>
  <dcterms:created xsi:type="dcterms:W3CDTF">2017-10-06T19:22:00Z</dcterms:created>
  <dcterms:modified xsi:type="dcterms:W3CDTF">2017-10-24T16:34:00Z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