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CBBD6" w14:textId="1066A020" w:rsidR="00E06BFE" w:rsidRPr="00E06BFE" w:rsidRDefault="00D31C47" w:rsidP="00941965">
      <w:pPr>
        <w:pStyle w:val="1Heading1"/>
        <w:numPr>
          <w:ilvl w:val="0"/>
          <w:numId w:val="0"/>
        </w:numPr>
        <w:spacing w:before="0"/>
        <w:rPr>
          <w:i/>
          <w:color w:val="C00000"/>
          <w:sz w:val="24"/>
          <w:szCs w:val="24"/>
        </w:rPr>
      </w:pPr>
      <w:r>
        <w:rPr>
          <w:i/>
          <w:color w:val="C00000"/>
          <w:sz w:val="24"/>
          <w:szCs w:val="24"/>
        </w:rPr>
        <w:t>Designer note: When deck removal is warranted, the bid item “</w:t>
      </w:r>
      <w:r w:rsidR="00655241">
        <w:rPr>
          <w:i/>
          <w:color w:val="C00000"/>
          <w:sz w:val="24"/>
          <w:szCs w:val="24"/>
        </w:rPr>
        <w:t>Cleaning</w:t>
      </w:r>
      <w:r>
        <w:rPr>
          <w:i/>
          <w:color w:val="C00000"/>
          <w:sz w:val="24"/>
          <w:szCs w:val="24"/>
        </w:rPr>
        <w:t xml:space="preserve"> Decks” should be added to the plans. </w:t>
      </w:r>
      <w:r w:rsidR="00E06BFE">
        <w:rPr>
          <w:i/>
          <w:color w:val="C00000"/>
          <w:sz w:val="24"/>
          <w:szCs w:val="24"/>
        </w:rPr>
        <w:t xml:space="preserve"> </w:t>
      </w:r>
    </w:p>
    <w:p w14:paraId="65598EEF" w14:textId="0FB42634" w:rsidR="00D31C47" w:rsidRDefault="00B47427" w:rsidP="003C4654">
      <w:pPr>
        <w:pStyle w:val="1Heading1"/>
        <w:numPr>
          <w:ilvl w:val="0"/>
          <w:numId w:val="0"/>
        </w:numPr>
        <w:spacing w:before="0" w:after="0"/>
      </w:pPr>
      <w:r>
        <w:t>Polyester Polymer Concrete Overlay</w:t>
      </w:r>
      <w:r w:rsidR="004E4D5B" w:rsidRPr="00E0734D">
        <w:t xml:space="preserve">, Item </w:t>
      </w:r>
      <w:r w:rsidR="00A10B11">
        <w:t>SPV.</w:t>
      </w:r>
      <w:r w:rsidR="00AA4500">
        <w:t>0180</w:t>
      </w:r>
      <w:r w:rsidR="002965B1">
        <w:t>.xx</w:t>
      </w:r>
      <w:r w:rsidR="003C4654">
        <w:t>;</w:t>
      </w:r>
    </w:p>
    <w:p w14:paraId="0BCD81AA" w14:textId="2C0A6257" w:rsidR="00941965" w:rsidRPr="00E0734D" w:rsidRDefault="00941965" w:rsidP="007C0B67">
      <w:pPr>
        <w:pStyle w:val="1Heading1"/>
        <w:numPr>
          <w:ilvl w:val="0"/>
          <w:numId w:val="0"/>
        </w:numPr>
        <w:spacing w:before="0" w:after="0"/>
      </w:pPr>
    </w:p>
    <w:p w14:paraId="65F3FB8C" w14:textId="77777777" w:rsidR="000F3BF9" w:rsidRDefault="008467A3" w:rsidP="003C4654">
      <w:pPr>
        <w:jc w:val="both"/>
        <w:rPr>
          <w:b/>
          <w:bCs/>
          <w:u w:val="single"/>
        </w:rPr>
      </w:pPr>
      <w:r>
        <w:rPr>
          <w:b/>
          <w:bCs/>
        </w:rPr>
        <w:t xml:space="preserve">A  </w:t>
      </w:r>
      <w:r w:rsidR="004E4D5B" w:rsidRPr="0098115F">
        <w:rPr>
          <w:b/>
          <w:bCs/>
        </w:rPr>
        <w:t>Description</w:t>
      </w:r>
    </w:p>
    <w:p w14:paraId="5C060AD1" w14:textId="06236677" w:rsidR="001B0E2D" w:rsidRDefault="001B0E2D" w:rsidP="003C4654">
      <w:pPr>
        <w:jc w:val="both"/>
      </w:pPr>
      <w:r w:rsidRPr="00E0734D">
        <w:t xml:space="preserve">This special provision describes furnishing and applying </w:t>
      </w:r>
      <w:r w:rsidR="00B47427">
        <w:t xml:space="preserve">a polyester </w:t>
      </w:r>
      <w:r w:rsidR="00684612">
        <w:t xml:space="preserve">polymer </w:t>
      </w:r>
      <w:r w:rsidR="00B47427">
        <w:t xml:space="preserve">concrete </w:t>
      </w:r>
      <w:r w:rsidR="00367DF0">
        <w:t xml:space="preserve">(PPC) </w:t>
      </w:r>
      <w:r w:rsidR="00B47427">
        <w:t xml:space="preserve">overlay with a high molecular weight methacrylate (HMWM) resin prime coat, </w:t>
      </w:r>
      <w:r>
        <w:t>to the limits shown on the plans.</w:t>
      </w:r>
      <w:r w:rsidR="00BB642D">
        <w:t xml:space="preserve"> </w:t>
      </w:r>
      <w:r w:rsidR="002D6C6E" w:rsidRPr="002D6C6E">
        <w:t xml:space="preserve"> </w:t>
      </w:r>
      <w:r w:rsidR="00145EFA">
        <w:t>Minimum thickness of f</w:t>
      </w:r>
      <w:r w:rsidR="002D6C6E">
        <w:t xml:space="preserve">inished </w:t>
      </w:r>
      <w:bookmarkStart w:id="0" w:name="_Hlk5873061"/>
      <w:r w:rsidR="002D6C6E">
        <w:t xml:space="preserve">overlay thickness to be </w:t>
      </w:r>
      <w:r w:rsidR="00145EFA">
        <w:t>as shown on plans.</w:t>
      </w:r>
      <w:bookmarkEnd w:id="0"/>
      <w:r w:rsidR="00145EFA">
        <w:t xml:space="preserve">  </w:t>
      </w:r>
    </w:p>
    <w:p w14:paraId="6ED9CF69" w14:textId="77777777" w:rsidR="00A10B11" w:rsidRDefault="00A10B11" w:rsidP="003C4654">
      <w:pPr>
        <w:jc w:val="both"/>
      </w:pPr>
    </w:p>
    <w:p w14:paraId="34F6E708" w14:textId="77777777" w:rsidR="00A10B11" w:rsidRDefault="00A10B11" w:rsidP="003C4654">
      <w:pPr>
        <w:jc w:val="both"/>
      </w:pPr>
      <w:r>
        <w:t xml:space="preserve">Provisions </w:t>
      </w:r>
      <w:r w:rsidR="006758C5">
        <w:t xml:space="preserve">in </w:t>
      </w:r>
      <w:r w:rsidR="00BB642D">
        <w:t>standard spec</w:t>
      </w:r>
      <w:r w:rsidR="006758C5">
        <w:t xml:space="preserve"> 509 </w:t>
      </w:r>
      <w:r>
        <w:t xml:space="preserve">for concrete masonry overlays apply unless otherwise specified herein. </w:t>
      </w:r>
    </w:p>
    <w:p w14:paraId="7F09E95B" w14:textId="77777777" w:rsidR="004E4D5B" w:rsidRPr="00E0734D" w:rsidRDefault="004E4D5B" w:rsidP="003C4654">
      <w:pPr>
        <w:jc w:val="both"/>
      </w:pPr>
    </w:p>
    <w:p w14:paraId="3A4A44E4" w14:textId="77777777" w:rsidR="002B5B45" w:rsidRDefault="008467A3" w:rsidP="003C4654">
      <w:pPr>
        <w:jc w:val="both"/>
        <w:rPr>
          <w:b/>
          <w:bCs/>
          <w:u w:val="single"/>
        </w:rPr>
      </w:pPr>
      <w:r>
        <w:rPr>
          <w:b/>
          <w:bCs/>
        </w:rPr>
        <w:t xml:space="preserve">B  </w:t>
      </w:r>
      <w:r w:rsidR="004E4D5B" w:rsidRPr="0098115F">
        <w:rPr>
          <w:b/>
          <w:bCs/>
        </w:rPr>
        <w:t>Materials</w:t>
      </w:r>
    </w:p>
    <w:p w14:paraId="4E41A9FB" w14:textId="60939E22" w:rsidR="00A10B11" w:rsidRDefault="00A10B11" w:rsidP="003C4654">
      <w:pPr>
        <w:jc w:val="both"/>
        <w:rPr>
          <w:bCs/>
        </w:rPr>
      </w:pPr>
      <w:r>
        <w:rPr>
          <w:bCs/>
        </w:rPr>
        <w:t xml:space="preserve">The </w:t>
      </w:r>
      <w:r w:rsidR="00367DF0">
        <w:rPr>
          <w:bCs/>
        </w:rPr>
        <w:t>PPC</w:t>
      </w:r>
      <w:r>
        <w:rPr>
          <w:bCs/>
        </w:rPr>
        <w:t xml:space="preserve"> system shall consist of a polyester resin binder and aggregate, and a compatible primer.</w:t>
      </w:r>
    </w:p>
    <w:p w14:paraId="4822E324" w14:textId="77777777" w:rsidR="00A10B11" w:rsidRPr="00A10B11" w:rsidRDefault="00A10B11" w:rsidP="003C4654">
      <w:pPr>
        <w:jc w:val="both"/>
        <w:rPr>
          <w:bCs/>
        </w:rPr>
      </w:pPr>
    </w:p>
    <w:p w14:paraId="7D70B790" w14:textId="77777777" w:rsidR="000F3BF9" w:rsidRDefault="000F3BF9" w:rsidP="003C4654">
      <w:pPr>
        <w:jc w:val="both"/>
        <w:rPr>
          <w:b/>
          <w:bCs/>
        </w:rPr>
      </w:pPr>
      <w:r>
        <w:rPr>
          <w:b/>
          <w:bCs/>
        </w:rPr>
        <w:t>B.</w:t>
      </w:r>
      <w:r w:rsidR="00CB1336">
        <w:rPr>
          <w:b/>
          <w:bCs/>
        </w:rPr>
        <w:t>1</w:t>
      </w:r>
      <w:r w:rsidR="008467A3">
        <w:rPr>
          <w:b/>
          <w:bCs/>
        </w:rPr>
        <w:t xml:space="preserve">  </w:t>
      </w:r>
      <w:r w:rsidR="002B5B45">
        <w:rPr>
          <w:b/>
          <w:bCs/>
        </w:rPr>
        <w:t>Primer</w:t>
      </w:r>
    </w:p>
    <w:p w14:paraId="683F0732" w14:textId="77777777" w:rsidR="000F3BF9" w:rsidRDefault="002B5B45" w:rsidP="003C4654">
      <w:pPr>
        <w:jc w:val="both"/>
      </w:pPr>
      <w:r>
        <w:t xml:space="preserve">The </w:t>
      </w:r>
      <w:r w:rsidR="004830E3">
        <w:t xml:space="preserve">primer shall be a </w:t>
      </w:r>
      <w:r w:rsidR="00057EE8">
        <w:t>HMWM</w:t>
      </w:r>
      <w:r>
        <w:t xml:space="preserve"> resin </w:t>
      </w:r>
      <w:r w:rsidR="004830E3">
        <w:t>that is</w:t>
      </w:r>
      <w:r>
        <w:t xml:space="preserve"> l</w:t>
      </w:r>
      <w:r w:rsidR="00941965">
        <w:t>ow viscosity, wax free,</w:t>
      </w:r>
      <w:r>
        <w:t xml:space="preserve"> low odor, and shall meet the following requirements:</w:t>
      </w:r>
    </w:p>
    <w:p w14:paraId="5503FAFB" w14:textId="77777777" w:rsidR="00CB1336" w:rsidRDefault="00CB1336" w:rsidP="003C4654">
      <w:pPr>
        <w:jc w:val="both"/>
      </w:pPr>
    </w:p>
    <w:tbl>
      <w:tblPr>
        <w:tblStyle w:val="TableGrid"/>
        <w:tblW w:w="0" w:type="auto"/>
        <w:tblInd w:w="720" w:type="dxa"/>
        <w:tblLook w:val="04A0" w:firstRow="1" w:lastRow="0" w:firstColumn="1" w:lastColumn="0" w:noHBand="0" w:noVBand="1"/>
      </w:tblPr>
      <w:tblGrid>
        <w:gridCol w:w="2938"/>
        <w:gridCol w:w="2994"/>
        <w:gridCol w:w="2924"/>
      </w:tblGrid>
      <w:tr w:rsidR="00CB1336" w:rsidRPr="00733790" w14:paraId="5A833F97" w14:textId="77777777" w:rsidTr="00941965">
        <w:trPr>
          <w:trHeight w:val="288"/>
        </w:trPr>
        <w:tc>
          <w:tcPr>
            <w:tcW w:w="2938" w:type="dxa"/>
            <w:vAlign w:val="center"/>
          </w:tcPr>
          <w:p w14:paraId="14C045A7" w14:textId="77777777" w:rsidR="00CB1336" w:rsidRPr="00AA57B3" w:rsidRDefault="00CB1336" w:rsidP="003C4654">
            <w:pPr>
              <w:rPr>
                <w:b/>
              </w:rPr>
            </w:pPr>
            <w:r>
              <w:rPr>
                <w:b/>
              </w:rPr>
              <w:t>Property</w:t>
            </w:r>
          </w:p>
        </w:tc>
        <w:tc>
          <w:tcPr>
            <w:tcW w:w="2994" w:type="dxa"/>
            <w:vAlign w:val="center"/>
          </w:tcPr>
          <w:p w14:paraId="2F3CE2AC" w14:textId="77777777" w:rsidR="00CB1336" w:rsidRPr="00AA57B3" w:rsidRDefault="00CB1336" w:rsidP="003C4654">
            <w:pPr>
              <w:rPr>
                <w:b/>
              </w:rPr>
            </w:pPr>
            <w:r>
              <w:rPr>
                <w:b/>
              </w:rPr>
              <w:t>Requirements</w:t>
            </w:r>
          </w:p>
        </w:tc>
        <w:tc>
          <w:tcPr>
            <w:tcW w:w="2924" w:type="dxa"/>
            <w:vAlign w:val="center"/>
          </w:tcPr>
          <w:p w14:paraId="4DD0B381" w14:textId="77777777" w:rsidR="00CB1336" w:rsidRPr="00AA57B3" w:rsidRDefault="00CB1336" w:rsidP="003C4654">
            <w:pPr>
              <w:rPr>
                <w:b/>
              </w:rPr>
            </w:pPr>
            <w:r>
              <w:rPr>
                <w:b/>
              </w:rPr>
              <w:t>Test Method</w:t>
            </w:r>
          </w:p>
        </w:tc>
      </w:tr>
      <w:tr w:rsidR="00CB1336" w14:paraId="2B807F3B" w14:textId="77777777" w:rsidTr="00941965">
        <w:trPr>
          <w:trHeight w:val="432"/>
        </w:trPr>
        <w:tc>
          <w:tcPr>
            <w:tcW w:w="2938" w:type="dxa"/>
            <w:vAlign w:val="center"/>
          </w:tcPr>
          <w:p w14:paraId="782B7AFD" w14:textId="77777777" w:rsidR="00CB1336" w:rsidRPr="00A10B11" w:rsidRDefault="00CB1336" w:rsidP="003C4654">
            <w:pPr>
              <w:rPr>
                <w:vertAlign w:val="superscript"/>
              </w:rPr>
            </w:pPr>
            <w:r>
              <w:t>Viscosity</w:t>
            </w:r>
            <w:r w:rsidR="00A10B11">
              <w:t xml:space="preserve"> </w:t>
            </w:r>
            <w:r w:rsidR="00FE1487" w:rsidRPr="00FE1487">
              <w:rPr>
                <w:vertAlign w:val="superscript"/>
              </w:rPr>
              <w:t>A</w:t>
            </w:r>
            <w:r w:rsidR="00FE1487">
              <w:rPr>
                <w:vertAlign w:val="superscript"/>
              </w:rPr>
              <w:t xml:space="preserve"> </w:t>
            </w:r>
            <w:r w:rsidR="00A10B11">
              <w:rPr>
                <w:vertAlign w:val="superscript"/>
              </w:rPr>
              <w:t>B</w:t>
            </w:r>
          </w:p>
        </w:tc>
        <w:tc>
          <w:tcPr>
            <w:tcW w:w="2994" w:type="dxa"/>
            <w:vAlign w:val="center"/>
          </w:tcPr>
          <w:p w14:paraId="371A34C5" w14:textId="77777777" w:rsidR="00CB1336" w:rsidRDefault="00CB1336" w:rsidP="003C4654">
            <w:r>
              <w:t>≤ 25 cps</w:t>
            </w:r>
          </w:p>
        </w:tc>
        <w:tc>
          <w:tcPr>
            <w:tcW w:w="2924" w:type="dxa"/>
            <w:vAlign w:val="center"/>
          </w:tcPr>
          <w:p w14:paraId="036742F6" w14:textId="77777777" w:rsidR="00CB1336" w:rsidRDefault="00CB1336" w:rsidP="003C4654">
            <w:r>
              <w:t>ASTM D 2196 – Brookfield RVT</w:t>
            </w:r>
          </w:p>
        </w:tc>
      </w:tr>
      <w:tr w:rsidR="00CB1336" w14:paraId="5FC5EAA9" w14:textId="77777777" w:rsidTr="00941965">
        <w:trPr>
          <w:trHeight w:val="288"/>
        </w:trPr>
        <w:tc>
          <w:tcPr>
            <w:tcW w:w="2938" w:type="dxa"/>
            <w:vAlign w:val="center"/>
          </w:tcPr>
          <w:p w14:paraId="7B9DC62F" w14:textId="77777777" w:rsidR="00CB1336" w:rsidRPr="00A10B11" w:rsidRDefault="00CB1336" w:rsidP="003C4654">
            <w:pPr>
              <w:rPr>
                <w:vertAlign w:val="superscript"/>
              </w:rPr>
            </w:pPr>
            <w:r>
              <w:t>Specific Gravity</w:t>
            </w:r>
            <w:r w:rsidR="00A10B11">
              <w:t xml:space="preserve"> </w:t>
            </w:r>
            <w:r w:rsidR="00FE1487">
              <w:rPr>
                <w:vertAlign w:val="superscript"/>
              </w:rPr>
              <w:t xml:space="preserve">A </w:t>
            </w:r>
            <w:r w:rsidR="00A10B11">
              <w:rPr>
                <w:vertAlign w:val="superscript"/>
              </w:rPr>
              <w:t>B</w:t>
            </w:r>
          </w:p>
        </w:tc>
        <w:tc>
          <w:tcPr>
            <w:tcW w:w="2994" w:type="dxa"/>
            <w:vAlign w:val="center"/>
          </w:tcPr>
          <w:p w14:paraId="6EC8EB6A" w14:textId="1A266C59" w:rsidR="00CB1336" w:rsidRDefault="007B5FAB" w:rsidP="003C4654">
            <w:r>
              <w:t>≥</w:t>
            </w:r>
            <w:r w:rsidR="00CB1336">
              <w:t>0.90</w:t>
            </w:r>
          </w:p>
        </w:tc>
        <w:tc>
          <w:tcPr>
            <w:tcW w:w="2924" w:type="dxa"/>
            <w:vAlign w:val="center"/>
          </w:tcPr>
          <w:p w14:paraId="2CFC228B" w14:textId="77777777" w:rsidR="00CB1336" w:rsidRDefault="00CB1336" w:rsidP="003C4654">
            <w:r>
              <w:t>ASTM D 1475</w:t>
            </w:r>
          </w:p>
        </w:tc>
      </w:tr>
      <w:tr w:rsidR="00CB1336" w14:paraId="034E90CA" w14:textId="77777777" w:rsidTr="00941965">
        <w:trPr>
          <w:trHeight w:val="288"/>
        </w:trPr>
        <w:tc>
          <w:tcPr>
            <w:tcW w:w="2938" w:type="dxa"/>
            <w:vAlign w:val="center"/>
          </w:tcPr>
          <w:p w14:paraId="46C85021" w14:textId="77777777" w:rsidR="00CB1336" w:rsidRPr="00A10B11" w:rsidRDefault="00CB1336" w:rsidP="003C4654">
            <w:pPr>
              <w:rPr>
                <w:vertAlign w:val="superscript"/>
              </w:rPr>
            </w:pPr>
            <w:r>
              <w:t>Flash Point</w:t>
            </w:r>
            <w:r w:rsidR="00A10B11">
              <w:t xml:space="preserve"> </w:t>
            </w:r>
            <w:r w:rsidR="00A10B11">
              <w:rPr>
                <w:vertAlign w:val="superscript"/>
              </w:rPr>
              <w:t>B</w:t>
            </w:r>
          </w:p>
        </w:tc>
        <w:tc>
          <w:tcPr>
            <w:tcW w:w="2994" w:type="dxa"/>
            <w:vAlign w:val="center"/>
          </w:tcPr>
          <w:p w14:paraId="0DB6C9B3" w14:textId="77777777" w:rsidR="00CB1336" w:rsidRDefault="00CB1336" w:rsidP="003C4654">
            <w:r>
              <w:t>≥ 180°F</w:t>
            </w:r>
          </w:p>
        </w:tc>
        <w:tc>
          <w:tcPr>
            <w:tcW w:w="2924" w:type="dxa"/>
            <w:vAlign w:val="center"/>
          </w:tcPr>
          <w:p w14:paraId="386484FC" w14:textId="77777777" w:rsidR="00CB1336" w:rsidRDefault="00CB1336" w:rsidP="003C4654">
            <w:r>
              <w:t>ASTM D 3278</w:t>
            </w:r>
          </w:p>
        </w:tc>
      </w:tr>
      <w:tr w:rsidR="00CB1336" w14:paraId="644392DD" w14:textId="77777777" w:rsidTr="00941965">
        <w:trPr>
          <w:trHeight w:val="288"/>
        </w:trPr>
        <w:tc>
          <w:tcPr>
            <w:tcW w:w="2938" w:type="dxa"/>
            <w:vAlign w:val="center"/>
          </w:tcPr>
          <w:p w14:paraId="781555AB" w14:textId="77777777" w:rsidR="00CB1336" w:rsidRPr="00FE1487" w:rsidRDefault="00CB1336" w:rsidP="003C4654">
            <w:pPr>
              <w:rPr>
                <w:vertAlign w:val="superscript"/>
              </w:rPr>
            </w:pPr>
            <w:r>
              <w:t>Tack-free Time</w:t>
            </w:r>
            <w:r w:rsidR="00FE1487">
              <w:t xml:space="preserve"> </w:t>
            </w:r>
            <w:r w:rsidR="00FE1487">
              <w:rPr>
                <w:vertAlign w:val="superscript"/>
              </w:rPr>
              <w:t>A</w:t>
            </w:r>
          </w:p>
        </w:tc>
        <w:tc>
          <w:tcPr>
            <w:tcW w:w="2994" w:type="dxa"/>
            <w:vAlign w:val="center"/>
          </w:tcPr>
          <w:p w14:paraId="65847B7B" w14:textId="77777777" w:rsidR="00CB1336" w:rsidRDefault="00CB1336" w:rsidP="003C4654">
            <w:r>
              <w:t>≤ 400 minutes</w:t>
            </w:r>
          </w:p>
        </w:tc>
        <w:tc>
          <w:tcPr>
            <w:tcW w:w="2924" w:type="dxa"/>
            <w:vAlign w:val="center"/>
          </w:tcPr>
          <w:p w14:paraId="2681FFEB" w14:textId="77777777" w:rsidR="00CB1336" w:rsidRDefault="00CB1336" w:rsidP="003C4654">
            <w:r>
              <w:t>California Test Method 551</w:t>
            </w:r>
          </w:p>
        </w:tc>
      </w:tr>
      <w:tr w:rsidR="00CB1336" w14:paraId="6545C994" w14:textId="77777777" w:rsidTr="00941965">
        <w:trPr>
          <w:trHeight w:val="288"/>
        </w:trPr>
        <w:tc>
          <w:tcPr>
            <w:tcW w:w="2938" w:type="dxa"/>
            <w:vAlign w:val="center"/>
          </w:tcPr>
          <w:p w14:paraId="0F6626D8" w14:textId="77777777" w:rsidR="00CB1336" w:rsidRPr="00A10B11" w:rsidRDefault="00CB1336" w:rsidP="003C4654">
            <w:pPr>
              <w:rPr>
                <w:vertAlign w:val="superscript"/>
              </w:rPr>
            </w:pPr>
            <w:r>
              <w:t>Vapor Pressure</w:t>
            </w:r>
            <w:r w:rsidR="00A10B11">
              <w:t xml:space="preserve"> </w:t>
            </w:r>
            <w:r w:rsidR="00FE1487">
              <w:rPr>
                <w:vertAlign w:val="superscript"/>
              </w:rPr>
              <w:t xml:space="preserve">A </w:t>
            </w:r>
            <w:r w:rsidR="00A10B11">
              <w:rPr>
                <w:vertAlign w:val="superscript"/>
              </w:rPr>
              <w:t>B</w:t>
            </w:r>
          </w:p>
        </w:tc>
        <w:tc>
          <w:tcPr>
            <w:tcW w:w="2994" w:type="dxa"/>
            <w:vAlign w:val="center"/>
          </w:tcPr>
          <w:p w14:paraId="5CECD7ED" w14:textId="77777777" w:rsidR="00CB1336" w:rsidRDefault="00CB1336" w:rsidP="003C4654">
            <w:r>
              <w:t xml:space="preserve">≤ </w:t>
            </w:r>
            <w:r w:rsidR="00BB642D">
              <w:t>0.04-</w:t>
            </w:r>
            <w:r w:rsidR="006758C5">
              <w:t xml:space="preserve">in </w:t>
            </w:r>
            <w:r>
              <w:t>Hg</w:t>
            </w:r>
          </w:p>
        </w:tc>
        <w:tc>
          <w:tcPr>
            <w:tcW w:w="2924" w:type="dxa"/>
            <w:vAlign w:val="center"/>
          </w:tcPr>
          <w:p w14:paraId="0524866D" w14:textId="77777777" w:rsidR="00CB1336" w:rsidRDefault="00CB1336" w:rsidP="003C4654">
            <w:r>
              <w:t>ASTM D 323</w:t>
            </w:r>
          </w:p>
        </w:tc>
      </w:tr>
      <w:tr w:rsidR="00CB1336" w14:paraId="73F73659" w14:textId="77777777" w:rsidTr="00941965">
        <w:trPr>
          <w:trHeight w:val="288"/>
        </w:trPr>
        <w:tc>
          <w:tcPr>
            <w:tcW w:w="2938" w:type="dxa"/>
            <w:vAlign w:val="center"/>
          </w:tcPr>
          <w:p w14:paraId="415325A2" w14:textId="77777777" w:rsidR="00CB1336" w:rsidRPr="00A10B11" w:rsidRDefault="00A10B11" w:rsidP="003C4654">
            <w:pPr>
              <w:rPr>
                <w:vertAlign w:val="superscript"/>
              </w:rPr>
            </w:pPr>
            <w:r>
              <w:t xml:space="preserve">Volatile Content </w:t>
            </w:r>
            <w:r>
              <w:rPr>
                <w:vertAlign w:val="superscript"/>
              </w:rPr>
              <w:t>B</w:t>
            </w:r>
          </w:p>
        </w:tc>
        <w:tc>
          <w:tcPr>
            <w:tcW w:w="2994" w:type="dxa"/>
            <w:vAlign w:val="center"/>
          </w:tcPr>
          <w:p w14:paraId="2DD77CC9" w14:textId="77777777" w:rsidR="00CB1336" w:rsidRDefault="00FE1487" w:rsidP="003C4654">
            <w:r>
              <w:t>&lt; 30%</w:t>
            </w:r>
          </w:p>
        </w:tc>
        <w:tc>
          <w:tcPr>
            <w:tcW w:w="2924" w:type="dxa"/>
            <w:vAlign w:val="center"/>
          </w:tcPr>
          <w:p w14:paraId="3EDB090E" w14:textId="77777777" w:rsidR="00CB1336" w:rsidRDefault="00CB1336" w:rsidP="003C4654">
            <w:r>
              <w:t xml:space="preserve">ASTM D </w:t>
            </w:r>
            <w:r w:rsidR="00FE1487">
              <w:t>2369</w:t>
            </w:r>
          </w:p>
        </w:tc>
      </w:tr>
      <w:tr w:rsidR="00CB1336" w14:paraId="53E0F133" w14:textId="77777777" w:rsidTr="00941965">
        <w:trPr>
          <w:trHeight w:val="432"/>
        </w:trPr>
        <w:tc>
          <w:tcPr>
            <w:tcW w:w="2938" w:type="dxa"/>
            <w:vAlign w:val="center"/>
          </w:tcPr>
          <w:p w14:paraId="6DECF37C" w14:textId="77777777" w:rsidR="00CB1336" w:rsidRPr="00FE1487" w:rsidRDefault="00941965" w:rsidP="003C4654">
            <w:pPr>
              <w:rPr>
                <w:vertAlign w:val="superscript"/>
              </w:rPr>
            </w:pPr>
            <w:r>
              <w:t xml:space="preserve">PCC Saturated Surface Dry Bond </w:t>
            </w:r>
            <w:r w:rsidR="00CB1336">
              <w:t>Strength</w:t>
            </w:r>
            <w:r w:rsidR="00FE1487">
              <w:t xml:space="preserve"> </w:t>
            </w:r>
            <w:r w:rsidR="00FE1487">
              <w:rPr>
                <w:vertAlign w:val="superscript"/>
              </w:rPr>
              <w:t>C</w:t>
            </w:r>
          </w:p>
        </w:tc>
        <w:tc>
          <w:tcPr>
            <w:tcW w:w="2994" w:type="dxa"/>
            <w:vAlign w:val="center"/>
          </w:tcPr>
          <w:p w14:paraId="3645BF54" w14:textId="77777777" w:rsidR="00CB1336" w:rsidRDefault="00127329" w:rsidP="003C4654">
            <w:r>
              <w:t>≥ 50</w:t>
            </w:r>
            <w:r w:rsidR="00CB1336">
              <w:t>0 psi (24hrs)</w:t>
            </w:r>
          </w:p>
        </w:tc>
        <w:tc>
          <w:tcPr>
            <w:tcW w:w="2924" w:type="dxa"/>
            <w:vAlign w:val="center"/>
          </w:tcPr>
          <w:p w14:paraId="2CC9C6EB" w14:textId="77777777" w:rsidR="00CB1336" w:rsidRDefault="005E2D52" w:rsidP="003C4654">
            <w:r>
              <w:t>California Test Method 551</w:t>
            </w:r>
          </w:p>
        </w:tc>
      </w:tr>
    </w:tbl>
    <w:p w14:paraId="77920478" w14:textId="77777777" w:rsidR="00CB1336" w:rsidRDefault="00CB1336" w:rsidP="007B5FAB">
      <w:pPr>
        <w:ind w:firstLine="720"/>
        <w:jc w:val="both"/>
      </w:pPr>
      <w:r w:rsidRPr="00733790">
        <w:rPr>
          <w:vertAlign w:val="superscript"/>
        </w:rPr>
        <w:t>A</w:t>
      </w:r>
      <w:r w:rsidR="00FE1487">
        <w:t xml:space="preserve"> Value</w:t>
      </w:r>
      <w:r>
        <w:t xml:space="preserve"> based on specimens or samples cured or aged and tested at 77°F</w:t>
      </w:r>
    </w:p>
    <w:p w14:paraId="37C272B8" w14:textId="77777777" w:rsidR="00A10B11" w:rsidRDefault="00A10B11" w:rsidP="007B5FAB">
      <w:pPr>
        <w:ind w:firstLine="720"/>
        <w:jc w:val="both"/>
      </w:pPr>
      <w:r>
        <w:rPr>
          <w:vertAlign w:val="superscript"/>
        </w:rPr>
        <w:t>B</w:t>
      </w:r>
      <w:r>
        <w:t xml:space="preserve"> </w:t>
      </w:r>
      <w:r w:rsidR="004830E3">
        <w:t>T</w:t>
      </w:r>
      <w:r w:rsidR="00FE1487">
        <w:t>est performed prior to adding the initiator</w:t>
      </w:r>
    </w:p>
    <w:p w14:paraId="39B7D1E3" w14:textId="77777777" w:rsidR="00FE1487" w:rsidRPr="00FE1487" w:rsidRDefault="00FE1487" w:rsidP="007B5FAB">
      <w:pPr>
        <w:ind w:firstLine="720"/>
        <w:jc w:val="both"/>
      </w:pPr>
      <w:r>
        <w:rPr>
          <w:vertAlign w:val="superscript"/>
        </w:rPr>
        <w:t>C</w:t>
      </w:r>
      <w:r>
        <w:t xml:space="preserve"> Value based on specimens or samples stored at 70±1ºF</w:t>
      </w:r>
    </w:p>
    <w:p w14:paraId="5BFBD186" w14:textId="77777777" w:rsidR="002B5B45" w:rsidRPr="00A10B11" w:rsidRDefault="002B5B45" w:rsidP="003C4654">
      <w:pPr>
        <w:jc w:val="both"/>
        <w:rPr>
          <w:bCs/>
        </w:rPr>
      </w:pPr>
    </w:p>
    <w:p w14:paraId="66A1D646" w14:textId="77777777" w:rsidR="00941965" w:rsidRDefault="00A10B11" w:rsidP="003C4654">
      <w:pPr>
        <w:jc w:val="both"/>
        <w:rPr>
          <w:bCs/>
        </w:rPr>
      </w:pPr>
      <w:r>
        <w:rPr>
          <w:bCs/>
        </w:rPr>
        <w:t>The initiator for the methacrylate shall consist of a metal drier and peroxide.</w:t>
      </w:r>
      <w:r w:rsidR="00BB642D">
        <w:rPr>
          <w:bCs/>
        </w:rPr>
        <w:t xml:space="preserve"> </w:t>
      </w:r>
      <w:r>
        <w:rPr>
          <w:bCs/>
        </w:rPr>
        <w:t xml:space="preserve"> </w:t>
      </w:r>
      <w:r w:rsidR="00FE1487">
        <w:rPr>
          <w:bCs/>
        </w:rPr>
        <w:t>These materials must be stored</w:t>
      </w:r>
      <w:r w:rsidR="00B519F8">
        <w:rPr>
          <w:bCs/>
        </w:rPr>
        <w:t xml:space="preserve"> separately and in a manner which</w:t>
      </w:r>
      <w:r w:rsidR="00FE1487">
        <w:rPr>
          <w:bCs/>
        </w:rPr>
        <w:t xml:space="preserve"> will not allow the materials to contact each other if spilled</w:t>
      </w:r>
      <w:r w:rsidR="00941965">
        <w:rPr>
          <w:bCs/>
        </w:rPr>
        <w:t xml:space="preserve"> or if the packaging leaks</w:t>
      </w:r>
      <w:r w:rsidR="00FE1487">
        <w:rPr>
          <w:bCs/>
        </w:rPr>
        <w:t xml:space="preserve">.  </w:t>
      </w:r>
    </w:p>
    <w:p w14:paraId="69A6180A" w14:textId="77777777" w:rsidR="00941965" w:rsidRDefault="00941965" w:rsidP="003C4654">
      <w:pPr>
        <w:spacing w:after="200" w:line="276" w:lineRule="auto"/>
        <w:jc w:val="both"/>
        <w:rPr>
          <w:bCs/>
        </w:rPr>
      </w:pPr>
      <w:r>
        <w:rPr>
          <w:bCs/>
        </w:rPr>
        <w:br w:type="page"/>
      </w:r>
    </w:p>
    <w:p w14:paraId="23F524F5" w14:textId="77777777" w:rsidR="000F3BF9" w:rsidRDefault="004E4D5B" w:rsidP="003C4654">
      <w:pPr>
        <w:jc w:val="both"/>
        <w:rPr>
          <w:b/>
          <w:bCs/>
        </w:rPr>
      </w:pPr>
      <w:r w:rsidRPr="00E0734D">
        <w:rPr>
          <w:b/>
          <w:bCs/>
        </w:rPr>
        <w:lastRenderedPageBreak/>
        <w:t>B.</w:t>
      </w:r>
      <w:r w:rsidR="00CB1336">
        <w:rPr>
          <w:b/>
          <w:bCs/>
        </w:rPr>
        <w:t>2</w:t>
      </w:r>
      <w:r w:rsidR="008467A3">
        <w:rPr>
          <w:b/>
          <w:bCs/>
        </w:rPr>
        <w:t xml:space="preserve">  </w:t>
      </w:r>
      <w:r w:rsidRPr="00E0734D">
        <w:rPr>
          <w:b/>
          <w:bCs/>
        </w:rPr>
        <w:t>Resin</w:t>
      </w:r>
    </w:p>
    <w:p w14:paraId="0E977F02" w14:textId="77777777" w:rsidR="000F7383" w:rsidRDefault="000F7383" w:rsidP="003C4654">
      <w:pPr>
        <w:jc w:val="both"/>
      </w:pPr>
      <w:r w:rsidRPr="002C6AAE">
        <w:t xml:space="preserve">The </w:t>
      </w:r>
      <w:r w:rsidR="004830E3">
        <w:t>resin</w:t>
      </w:r>
      <w:r w:rsidRPr="002C6AAE">
        <w:t xml:space="preserve"> shall be a</w:t>
      </w:r>
      <w:r w:rsidR="004830E3">
        <w:t xml:space="preserve">n unsaturated isophthalic polyester-styrene co-polymer </w:t>
      </w:r>
      <w:r>
        <w:t xml:space="preserve">with the following properties: </w:t>
      </w:r>
    </w:p>
    <w:p w14:paraId="64F02573" w14:textId="77777777" w:rsidR="000F7383" w:rsidRPr="002C6AAE" w:rsidRDefault="000F7383" w:rsidP="003C4654">
      <w:pPr>
        <w:jc w:val="both"/>
      </w:pPr>
    </w:p>
    <w:tbl>
      <w:tblPr>
        <w:tblStyle w:val="TableGrid"/>
        <w:tblW w:w="0" w:type="auto"/>
        <w:tblInd w:w="720" w:type="dxa"/>
        <w:tblLook w:val="04A0" w:firstRow="1" w:lastRow="0" w:firstColumn="1" w:lastColumn="0" w:noHBand="0" w:noVBand="1"/>
      </w:tblPr>
      <w:tblGrid>
        <w:gridCol w:w="2938"/>
        <w:gridCol w:w="2994"/>
        <w:gridCol w:w="2924"/>
      </w:tblGrid>
      <w:tr w:rsidR="00CB1336" w:rsidRPr="002C6AAE" w14:paraId="4DE71517" w14:textId="77777777" w:rsidTr="00941965">
        <w:trPr>
          <w:trHeight w:val="288"/>
        </w:trPr>
        <w:tc>
          <w:tcPr>
            <w:tcW w:w="2938" w:type="dxa"/>
            <w:vAlign w:val="center"/>
          </w:tcPr>
          <w:p w14:paraId="6BD98FAE" w14:textId="77777777" w:rsidR="00CB1336" w:rsidRPr="002C6AAE" w:rsidRDefault="00CB1336" w:rsidP="003C4654">
            <w:pPr>
              <w:rPr>
                <w:b/>
              </w:rPr>
            </w:pPr>
            <w:r w:rsidRPr="002C6AAE">
              <w:rPr>
                <w:b/>
              </w:rPr>
              <w:t>Property</w:t>
            </w:r>
          </w:p>
        </w:tc>
        <w:tc>
          <w:tcPr>
            <w:tcW w:w="2994" w:type="dxa"/>
            <w:vAlign w:val="center"/>
          </w:tcPr>
          <w:p w14:paraId="1469FD6D" w14:textId="77777777" w:rsidR="00CB1336" w:rsidRPr="002C6AAE" w:rsidRDefault="00CB1336" w:rsidP="003C4654">
            <w:pPr>
              <w:rPr>
                <w:b/>
              </w:rPr>
            </w:pPr>
            <w:r w:rsidRPr="002C6AAE">
              <w:rPr>
                <w:b/>
              </w:rPr>
              <w:t>Requirements</w:t>
            </w:r>
          </w:p>
        </w:tc>
        <w:tc>
          <w:tcPr>
            <w:tcW w:w="2924" w:type="dxa"/>
            <w:vAlign w:val="center"/>
          </w:tcPr>
          <w:p w14:paraId="412BF1C6" w14:textId="77777777" w:rsidR="00CB1336" w:rsidRPr="002C6AAE" w:rsidRDefault="00CB1336" w:rsidP="003C4654">
            <w:pPr>
              <w:rPr>
                <w:b/>
              </w:rPr>
            </w:pPr>
            <w:r w:rsidRPr="002C6AAE">
              <w:rPr>
                <w:b/>
              </w:rPr>
              <w:t>Test Method</w:t>
            </w:r>
          </w:p>
        </w:tc>
      </w:tr>
      <w:tr w:rsidR="00CB1336" w:rsidRPr="002C6AAE" w14:paraId="3321F8F8" w14:textId="77777777" w:rsidTr="00941965">
        <w:trPr>
          <w:trHeight w:val="288"/>
        </w:trPr>
        <w:tc>
          <w:tcPr>
            <w:tcW w:w="2938" w:type="dxa"/>
            <w:vAlign w:val="center"/>
          </w:tcPr>
          <w:p w14:paraId="3520FD3B" w14:textId="77777777" w:rsidR="00CB1336" w:rsidRPr="004830E3" w:rsidRDefault="00CB1336" w:rsidP="003C4654">
            <w:pPr>
              <w:rPr>
                <w:vertAlign w:val="superscript"/>
              </w:rPr>
            </w:pPr>
            <w:r>
              <w:t>Viscosity</w:t>
            </w:r>
            <w:r w:rsidR="004830E3">
              <w:t xml:space="preserve"> </w:t>
            </w:r>
            <w:r w:rsidR="004830E3">
              <w:rPr>
                <w:vertAlign w:val="superscript"/>
              </w:rPr>
              <w:t>A B</w:t>
            </w:r>
          </w:p>
        </w:tc>
        <w:tc>
          <w:tcPr>
            <w:tcW w:w="2994" w:type="dxa"/>
            <w:vAlign w:val="center"/>
          </w:tcPr>
          <w:p w14:paraId="4D9F8D29" w14:textId="77777777" w:rsidR="00CB1336" w:rsidRDefault="00B519F8" w:rsidP="003C4654">
            <w:r>
              <w:t>75-200 cps</w:t>
            </w:r>
          </w:p>
        </w:tc>
        <w:tc>
          <w:tcPr>
            <w:tcW w:w="2924" w:type="dxa"/>
            <w:vAlign w:val="center"/>
          </w:tcPr>
          <w:p w14:paraId="7CF737BB" w14:textId="77777777" w:rsidR="00CB1336" w:rsidRDefault="00CB1336" w:rsidP="003C4654">
            <w:r>
              <w:t>ASTM D 2196 – Brookfield RVT</w:t>
            </w:r>
          </w:p>
        </w:tc>
      </w:tr>
      <w:tr w:rsidR="004830E3" w:rsidRPr="002C6AAE" w14:paraId="3F893E75" w14:textId="77777777" w:rsidTr="00941965">
        <w:trPr>
          <w:trHeight w:val="288"/>
        </w:trPr>
        <w:tc>
          <w:tcPr>
            <w:tcW w:w="2938" w:type="dxa"/>
            <w:vAlign w:val="center"/>
          </w:tcPr>
          <w:p w14:paraId="39591BA2" w14:textId="77777777" w:rsidR="004830E3" w:rsidRPr="004830E3" w:rsidRDefault="004830E3" w:rsidP="003C4654">
            <w:pPr>
              <w:rPr>
                <w:vertAlign w:val="superscript"/>
              </w:rPr>
            </w:pPr>
            <w:r>
              <w:t xml:space="preserve">Specific Gravity </w:t>
            </w:r>
            <w:r w:rsidR="00941965">
              <w:rPr>
                <w:vertAlign w:val="superscript"/>
              </w:rPr>
              <w:t>A B</w:t>
            </w:r>
          </w:p>
        </w:tc>
        <w:tc>
          <w:tcPr>
            <w:tcW w:w="2994" w:type="dxa"/>
            <w:vAlign w:val="center"/>
          </w:tcPr>
          <w:p w14:paraId="2A85F204" w14:textId="77777777" w:rsidR="004830E3" w:rsidRDefault="00941965" w:rsidP="003C4654">
            <w:r>
              <w:t>1.05-1.10</w:t>
            </w:r>
          </w:p>
        </w:tc>
        <w:tc>
          <w:tcPr>
            <w:tcW w:w="2924" w:type="dxa"/>
            <w:vAlign w:val="center"/>
          </w:tcPr>
          <w:p w14:paraId="6FA246F6" w14:textId="77777777" w:rsidR="004830E3" w:rsidRDefault="00941965" w:rsidP="003C4654">
            <w:r>
              <w:t>ASTM D 1475</w:t>
            </w:r>
          </w:p>
        </w:tc>
      </w:tr>
      <w:tr w:rsidR="00CB1336" w:rsidRPr="002C6AAE" w14:paraId="201F8565" w14:textId="77777777" w:rsidTr="00941965">
        <w:trPr>
          <w:trHeight w:val="288"/>
        </w:trPr>
        <w:tc>
          <w:tcPr>
            <w:tcW w:w="2938" w:type="dxa"/>
            <w:vAlign w:val="center"/>
          </w:tcPr>
          <w:p w14:paraId="0F2DE859" w14:textId="77777777" w:rsidR="00CB1336" w:rsidRDefault="00CB1336" w:rsidP="003C4654">
            <w:r>
              <w:t>Absorption</w:t>
            </w:r>
          </w:p>
        </w:tc>
        <w:tc>
          <w:tcPr>
            <w:tcW w:w="2994" w:type="dxa"/>
            <w:vAlign w:val="center"/>
          </w:tcPr>
          <w:p w14:paraId="6F3749A3" w14:textId="77777777" w:rsidR="00CB1336" w:rsidRPr="002C6AAE" w:rsidRDefault="00CB1336" w:rsidP="003C4654">
            <w:r>
              <w:t>≤ 1</w:t>
            </w:r>
            <w:r w:rsidR="0098115F">
              <w:t xml:space="preserve"> percent</w:t>
            </w:r>
            <w:r>
              <w:t xml:space="preserve"> (24 hr)</w:t>
            </w:r>
          </w:p>
        </w:tc>
        <w:tc>
          <w:tcPr>
            <w:tcW w:w="2924" w:type="dxa"/>
            <w:vAlign w:val="center"/>
          </w:tcPr>
          <w:p w14:paraId="3710F1F8" w14:textId="77777777" w:rsidR="00CB1336" w:rsidRPr="002C6AAE" w:rsidRDefault="00CB1336" w:rsidP="003C4654">
            <w:r>
              <w:t>ASTM D 570</w:t>
            </w:r>
          </w:p>
        </w:tc>
      </w:tr>
      <w:tr w:rsidR="00CB1336" w:rsidRPr="002C6AAE" w14:paraId="0E0B1BDE" w14:textId="77777777" w:rsidTr="00941965">
        <w:trPr>
          <w:trHeight w:val="288"/>
        </w:trPr>
        <w:tc>
          <w:tcPr>
            <w:tcW w:w="2938" w:type="dxa"/>
            <w:vAlign w:val="center"/>
          </w:tcPr>
          <w:p w14:paraId="744D4669" w14:textId="77777777" w:rsidR="00CB1336" w:rsidRPr="002C6AAE" w:rsidRDefault="00CB1336" w:rsidP="003C4654">
            <w:r>
              <w:t>Tensile Elongation</w:t>
            </w:r>
          </w:p>
        </w:tc>
        <w:tc>
          <w:tcPr>
            <w:tcW w:w="2994" w:type="dxa"/>
            <w:vAlign w:val="center"/>
          </w:tcPr>
          <w:p w14:paraId="5393185D" w14:textId="77777777" w:rsidR="00CB1336" w:rsidRPr="002C6AAE" w:rsidRDefault="004830E3" w:rsidP="003C4654">
            <w:r>
              <w:t>35</w:t>
            </w:r>
            <w:r w:rsidR="00BB642D">
              <w:t>-</w:t>
            </w:r>
            <w:r w:rsidR="00CB1336">
              <w:t>80</w:t>
            </w:r>
            <w:r w:rsidR="0098115F">
              <w:t xml:space="preserve"> percent</w:t>
            </w:r>
            <w:r w:rsidR="00CB1336">
              <w:t xml:space="preserve"> (7 days)</w:t>
            </w:r>
          </w:p>
        </w:tc>
        <w:tc>
          <w:tcPr>
            <w:tcW w:w="2924" w:type="dxa"/>
            <w:vAlign w:val="center"/>
          </w:tcPr>
          <w:p w14:paraId="4D1A891E" w14:textId="77777777" w:rsidR="00CB1336" w:rsidRPr="002C6AAE" w:rsidRDefault="00CB1336" w:rsidP="003C4654">
            <w:r>
              <w:t>ASTM D 638</w:t>
            </w:r>
          </w:p>
        </w:tc>
      </w:tr>
      <w:tr w:rsidR="00CB1336" w:rsidRPr="002C6AAE" w14:paraId="38C998C6" w14:textId="77777777" w:rsidTr="00941965">
        <w:trPr>
          <w:trHeight w:val="288"/>
        </w:trPr>
        <w:tc>
          <w:tcPr>
            <w:tcW w:w="2938" w:type="dxa"/>
            <w:vAlign w:val="center"/>
          </w:tcPr>
          <w:p w14:paraId="5B38D090" w14:textId="77777777" w:rsidR="00CB1336" w:rsidRPr="002C6AAE" w:rsidRDefault="00CB1336" w:rsidP="003C4654">
            <w:r>
              <w:t>Tensile Strength</w:t>
            </w:r>
          </w:p>
        </w:tc>
        <w:tc>
          <w:tcPr>
            <w:tcW w:w="2994" w:type="dxa"/>
            <w:vAlign w:val="center"/>
          </w:tcPr>
          <w:p w14:paraId="2DA61801" w14:textId="77777777" w:rsidR="00CB1336" w:rsidRPr="002C6AAE" w:rsidRDefault="004830E3" w:rsidP="003C4654">
            <w:r>
              <w:t>≥ 2,5</w:t>
            </w:r>
            <w:r w:rsidR="00CB1336">
              <w:t>00 psi (7 days)</w:t>
            </w:r>
          </w:p>
        </w:tc>
        <w:tc>
          <w:tcPr>
            <w:tcW w:w="2924" w:type="dxa"/>
            <w:vAlign w:val="center"/>
          </w:tcPr>
          <w:p w14:paraId="57F3A339" w14:textId="77777777" w:rsidR="00CB1336" w:rsidRPr="002C6AAE" w:rsidRDefault="00CB1336" w:rsidP="003C4654">
            <w:r>
              <w:t>ASTM D 638</w:t>
            </w:r>
          </w:p>
        </w:tc>
      </w:tr>
      <w:tr w:rsidR="000F47DD" w:rsidRPr="002C6AAE" w14:paraId="7CC27F57" w14:textId="77777777" w:rsidTr="00941965">
        <w:trPr>
          <w:trHeight w:val="288"/>
        </w:trPr>
        <w:tc>
          <w:tcPr>
            <w:tcW w:w="2938" w:type="dxa"/>
            <w:vAlign w:val="center"/>
          </w:tcPr>
          <w:p w14:paraId="28F6C051" w14:textId="77777777" w:rsidR="000F47DD" w:rsidRPr="003F545F" w:rsidRDefault="000F47DD" w:rsidP="003C4654">
            <w:pPr>
              <w:rPr>
                <w:vertAlign w:val="superscript"/>
              </w:rPr>
            </w:pPr>
            <w:r>
              <w:t>Styrene Content</w:t>
            </w:r>
            <w:r w:rsidR="003F545F">
              <w:t xml:space="preserve"> </w:t>
            </w:r>
            <w:r w:rsidR="003F545F">
              <w:rPr>
                <w:vertAlign w:val="superscript"/>
              </w:rPr>
              <w:t>B</w:t>
            </w:r>
          </w:p>
        </w:tc>
        <w:tc>
          <w:tcPr>
            <w:tcW w:w="2994" w:type="dxa"/>
            <w:vAlign w:val="center"/>
          </w:tcPr>
          <w:p w14:paraId="1D3CBBD8" w14:textId="77777777" w:rsidR="000F47DD" w:rsidRDefault="000F47DD" w:rsidP="003C4654">
            <w:r>
              <w:t>40-50</w:t>
            </w:r>
            <w:r w:rsidR="0098115F">
              <w:t xml:space="preserve"> percent</w:t>
            </w:r>
            <w:r>
              <w:t xml:space="preserve"> by weight</w:t>
            </w:r>
          </w:p>
        </w:tc>
        <w:tc>
          <w:tcPr>
            <w:tcW w:w="2924" w:type="dxa"/>
            <w:vAlign w:val="center"/>
          </w:tcPr>
          <w:p w14:paraId="3DFF0DD5" w14:textId="77777777" w:rsidR="000F47DD" w:rsidRDefault="000F47DD" w:rsidP="003C4654">
            <w:r>
              <w:t>ASTM D2369</w:t>
            </w:r>
          </w:p>
        </w:tc>
      </w:tr>
      <w:tr w:rsidR="000F47DD" w:rsidRPr="002C6AAE" w14:paraId="3098EAD8" w14:textId="77777777" w:rsidTr="00941965">
        <w:trPr>
          <w:trHeight w:val="288"/>
        </w:trPr>
        <w:tc>
          <w:tcPr>
            <w:tcW w:w="2938" w:type="dxa"/>
            <w:vAlign w:val="center"/>
          </w:tcPr>
          <w:p w14:paraId="4C9C1A13" w14:textId="77777777" w:rsidR="000F47DD" w:rsidRDefault="000F47DD" w:rsidP="003C4654">
            <w:r>
              <w:t>Silane Coupler</w:t>
            </w:r>
          </w:p>
        </w:tc>
        <w:tc>
          <w:tcPr>
            <w:tcW w:w="2994" w:type="dxa"/>
            <w:vAlign w:val="center"/>
          </w:tcPr>
          <w:p w14:paraId="1BA13348" w14:textId="77777777" w:rsidR="000F47DD" w:rsidRDefault="000F47DD" w:rsidP="003C4654">
            <w:r>
              <w:t>&gt; 1</w:t>
            </w:r>
            <w:r w:rsidR="0098115F">
              <w:t xml:space="preserve"> percent</w:t>
            </w:r>
            <w:r w:rsidR="003F545F">
              <w:t xml:space="preserve"> by weight of resin</w:t>
            </w:r>
          </w:p>
        </w:tc>
        <w:tc>
          <w:tcPr>
            <w:tcW w:w="2924" w:type="dxa"/>
            <w:vAlign w:val="center"/>
          </w:tcPr>
          <w:p w14:paraId="1239059C" w14:textId="77777777" w:rsidR="000F47DD" w:rsidRDefault="000F47DD" w:rsidP="003C4654"/>
        </w:tc>
      </w:tr>
      <w:tr w:rsidR="000F47DD" w:rsidRPr="002C6AAE" w14:paraId="10DC7CA4" w14:textId="77777777" w:rsidTr="00941965">
        <w:trPr>
          <w:trHeight w:val="288"/>
        </w:trPr>
        <w:tc>
          <w:tcPr>
            <w:tcW w:w="2938" w:type="dxa"/>
            <w:vAlign w:val="center"/>
          </w:tcPr>
          <w:p w14:paraId="75762AA5" w14:textId="77777777" w:rsidR="000F47DD" w:rsidRPr="003F545F" w:rsidRDefault="000F47DD" w:rsidP="003C4654">
            <w:pPr>
              <w:rPr>
                <w:vertAlign w:val="superscript"/>
              </w:rPr>
            </w:pPr>
            <w:r>
              <w:t>PCC Saturated Surface Dry Bond Strength</w:t>
            </w:r>
            <w:r w:rsidR="003F545F">
              <w:t xml:space="preserve"> </w:t>
            </w:r>
            <w:r w:rsidR="003F545F">
              <w:rPr>
                <w:vertAlign w:val="superscript"/>
              </w:rPr>
              <w:t>C</w:t>
            </w:r>
          </w:p>
        </w:tc>
        <w:tc>
          <w:tcPr>
            <w:tcW w:w="2994" w:type="dxa"/>
            <w:vAlign w:val="center"/>
          </w:tcPr>
          <w:p w14:paraId="514EF566" w14:textId="77777777" w:rsidR="000F47DD" w:rsidRDefault="005E2D52" w:rsidP="003C4654">
            <w:r>
              <w:t>≥</w:t>
            </w:r>
            <w:r w:rsidR="0098115F">
              <w:t xml:space="preserve"> </w:t>
            </w:r>
            <w:r w:rsidR="00127329">
              <w:t>50</w:t>
            </w:r>
            <w:r w:rsidR="000F47DD">
              <w:t>0 psi</w:t>
            </w:r>
            <w:r w:rsidR="003F545F">
              <w:t xml:space="preserve"> (24 hrs)</w:t>
            </w:r>
          </w:p>
        </w:tc>
        <w:tc>
          <w:tcPr>
            <w:tcW w:w="2924" w:type="dxa"/>
            <w:vAlign w:val="center"/>
          </w:tcPr>
          <w:p w14:paraId="5D2934D3" w14:textId="77777777" w:rsidR="000F47DD" w:rsidRDefault="000F47DD" w:rsidP="003C4654">
            <w:r>
              <w:t>California Test Method 551</w:t>
            </w:r>
          </w:p>
        </w:tc>
      </w:tr>
      <w:tr w:rsidR="00CB1336" w:rsidRPr="002C6AAE" w14:paraId="47C12C9B" w14:textId="77777777" w:rsidTr="00941965">
        <w:trPr>
          <w:trHeight w:val="288"/>
        </w:trPr>
        <w:tc>
          <w:tcPr>
            <w:tcW w:w="2938" w:type="dxa"/>
            <w:vAlign w:val="center"/>
          </w:tcPr>
          <w:p w14:paraId="75A647F6" w14:textId="77777777" w:rsidR="00CB1336" w:rsidRDefault="00CB1336" w:rsidP="003C4654">
            <w:r>
              <w:t>Permeability to Chloride ion</w:t>
            </w:r>
          </w:p>
        </w:tc>
        <w:tc>
          <w:tcPr>
            <w:tcW w:w="2994" w:type="dxa"/>
            <w:vAlign w:val="center"/>
          </w:tcPr>
          <w:p w14:paraId="0723A4E7" w14:textId="77777777" w:rsidR="00CB1336" w:rsidRPr="002C6AAE" w:rsidRDefault="00CB1336" w:rsidP="003C4654">
            <w:r>
              <w:t>≤ 100 coulombs (28 days)</w:t>
            </w:r>
          </w:p>
        </w:tc>
        <w:tc>
          <w:tcPr>
            <w:tcW w:w="2924" w:type="dxa"/>
            <w:vAlign w:val="center"/>
          </w:tcPr>
          <w:p w14:paraId="7D79E132" w14:textId="77777777" w:rsidR="00CB1336" w:rsidRPr="002C6AAE" w:rsidRDefault="00CB1336" w:rsidP="003C4654">
            <w:r>
              <w:t>AASHTO T 277</w:t>
            </w:r>
          </w:p>
        </w:tc>
      </w:tr>
    </w:tbl>
    <w:p w14:paraId="58D91072" w14:textId="77777777" w:rsidR="00CB1336" w:rsidRDefault="00CB1336" w:rsidP="003C4654">
      <w:pPr>
        <w:jc w:val="both"/>
      </w:pPr>
      <w:r>
        <w:tab/>
      </w:r>
      <w:r w:rsidRPr="00DB6200">
        <w:rPr>
          <w:vertAlign w:val="superscript"/>
        </w:rPr>
        <w:t>A</w:t>
      </w:r>
      <w:r>
        <w:t xml:space="preserve"> Values are based on specimens or sample</w:t>
      </w:r>
      <w:r w:rsidR="003F545F">
        <w:t>s cured or aged and tested at 77</w:t>
      </w:r>
      <w:r>
        <w:t>°F</w:t>
      </w:r>
    </w:p>
    <w:p w14:paraId="1A58D2F6" w14:textId="77777777" w:rsidR="004830E3" w:rsidRDefault="004830E3" w:rsidP="003C4654">
      <w:pPr>
        <w:jc w:val="both"/>
      </w:pPr>
      <w:r>
        <w:tab/>
      </w:r>
      <w:r w:rsidRPr="004830E3">
        <w:rPr>
          <w:vertAlign w:val="superscript"/>
        </w:rPr>
        <w:t>B</w:t>
      </w:r>
      <w:r>
        <w:t xml:space="preserve"> Test performed prior to adding initiator </w:t>
      </w:r>
    </w:p>
    <w:p w14:paraId="5CA1F045" w14:textId="77777777" w:rsidR="003F545F" w:rsidRPr="003F545F" w:rsidRDefault="003F545F" w:rsidP="003C4654">
      <w:pPr>
        <w:jc w:val="both"/>
      </w:pPr>
      <w:r>
        <w:tab/>
      </w:r>
      <w:r>
        <w:rPr>
          <w:vertAlign w:val="superscript"/>
        </w:rPr>
        <w:t>C</w:t>
      </w:r>
      <w:r>
        <w:t xml:space="preserve"> Values are based on specimens or samples cured or aged and tested at 70ºF</w:t>
      </w:r>
    </w:p>
    <w:p w14:paraId="4B8B7D27" w14:textId="77777777" w:rsidR="000E10ED" w:rsidRDefault="000E10ED" w:rsidP="003C4654">
      <w:pPr>
        <w:jc w:val="both"/>
      </w:pPr>
    </w:p>
    <w:p w14:paraId="414D2533" w14:textId="77777777" w:rsidR="004830E3" w:rsidRDefault="004830E3" w:rsidP="003C4654">
      <w:pPr>
        <w:jc w:val="both"/>
      </w:pPr>
      <w:r>
        <w:t>The silane coupler shall be an organsilane ester, gammametha</w:t>
      </w:r>
      <w:r w:rsidR="00BB642D">
        <w:t xml:space="preserve">cryloxypropyltrimethoxysilane.  </w:t>
      </w:r>
      <w:r>
        <w:t>The promoter</w:t>
      </w:r>
      <w:r w:rsidR="000F47DD">
        <w:t>/harden</w:t>
      </w:r>
      <w:r w:rsidR="00B519F8">
        <w:t>e</w:t>
      </w:r>
      <w:r w:rsidR="000F47DD">
        <w:t>r</w:t>
      </w:r>
      <w:r>
        <w:t xml:space="preserve"> shall be compatible with methyl ethyl ketone peroxide and cumene hydroperoxide initiators. </w:t>
      </w:r>
    </w:p>
    <w:p w14:paraId="4798DBCF" w14:textId="77777777" w:rsidR="004830E3" w:rsidRPr="00E0734D" w:rsidRDefault="004830E3" w:rsidP="003C4654">
      <w:pPr>
        <w:jc w:val="both"/>
      </w:pPr>
    </w:p>
    <w:p w14:paraId="4E357C93" w14:textId="77777777" w:rsidR="004E4D5B" w:rsidRDefault="004E4D5B" w:rsidP="003C4654">
      <w:pPr>
        <w:jc w:val="both"/>
        <w:rPr>
          <w:b/>
          <w:bCs/>
        </w:rPr>
      </w:pPr>
      <w:r w:rsidRPr="00E0734D">
        <w:rPr>
          <w:b/>
          <w:bCs/>
        </w:rPr>
        <w:t>B.</w:t>
      </w:r>
      <w:r w:rsidR="00CB1336">
        <w:rPr>
          <w:b/>
          <w:bCs/>
        </w:rPr>
        <w:t>3</w:t>
      </w:r>
      <w:r w:rsidR="008467A3">
        <w:rPr>
          <w:b/>
          <w:bCs/>
        </w:rPr>
        <w:t xml:space="preserve">  </w:t>
      </w:r>
      <w:r w:rsidRPr="00E0734D">
        <w:rPr>
          <w:b/>
          <w:bCs/>
        </w:rPr>
        <w:t>Aggregates</w:t>
      </w:r>
    </w:p>
    <w:p w14:paraId="74F8EE36" w14:textId="77777777" w:rsidR="004E4D5B" w:rsidRDefault="00CB1336" w:rsidP="003C4654">
      <w:pPr>
        <w:jc w:val="both"/>
      </w:pPr>
      <w:r>
        <w:t>For mixing with the polyester polymer</w:t>
      </w:r>
      <w:r w:rsidR="00B519F8">
        <w:t xml:space="preserve"> resin</w:t>
      </w:r>
      <w:r>
        <w:t>, f</w:t>
      </w:r>
      <w:r w:rsidR="004E4D5B" w:rsidRPr="00E0734D">
        <w:t>urnish natural or synthetic aggregates that have a proven record of performance in applications of this type.</w:t>
      </w:r>
      <w:r w:rsidR="00BB642D">
        <w:t xml:space="preserve"> </w:t>
      </w:r>
      <w:r w:rsidR="004E4D5B" w:rsidRPr="00E0734D">
        <w:t xml:space="preserve"> </w:t>
      </w:r>
      <w:r w:rsidR="00B519F8">
        <w:t>F</w:t>
      </w:r>
      <w:r w:rsidR="00B519F8" w:rsidRPr="00E0734D">
        <w:t>urnish aggregate</w:t>
      </w:r>
      <w:r w:rsidR="00B519F8">
        <w:t>s that are non-polishing; clean;</w:t>
      </w:r>
      <w:r w:rsidR="00B519F8" w:rsidRPr="00E0734D">
        <w:t xml:space="preserve"> free of surface moisture</w:t>
      </w:r>
      <w:r w:rsidR="00B519F8">
        <w:t>;</w:t>
      </w:r>
      <w:r w:rsidR="00B519F8" w:rsidRPr="00E0734D">
        <w:t xml:space="preserve"> fractured or angular in shape; </w:t>
      </w:r>
      <w:r w:rsidR="00B519F8">
        <w:t xml:space="preserve">and </w:t>
      </w:r>
      <w:r w:rsidR="00B519F8" w:rsidRPr="00E0734D">
        <w:t>free from silt, clay, asphalt, or other organic materials</w:t>
      </w:r>
      <w:r w:rsidR="00B519F8">
        <w:t xml:space="preserve">.  </w:t>
      </w:r>
      <w:r w:rsidR="00536463">
        <w:t xml:space="preserve">The fine aggregate </w:t>
      </w:r>
      <w:r w:rsidR="00B519F8">
        <w:t>shall</w:t>
      </w:r>
      <w:r w:rsidR="00536463">
        <w:t xml:space="preserve"> be natural sand.  </w:t>
      </w:r>
      <w:r w:rsidR="00B519F8">
        <w:t>T</w:t>
      </w:r>
      <w:r w:rsidR="00536463">
        <w:t>he aggregate</w:t>
      </w:r>
      <w:r w:rsidR="00B519F8">
        <w:t xml:space="preserve"> </w:t>
      </w:r>
      <w:r w:rsidR="00797556">
        <w:t xml:space="preserve">gradation </w:t>
      </w:r>
      <w:r w:rsidR="00B519F8">
        <w:t>shall meet</w:t>
      </w:r>
      <w:r w:rsidR="00797556">
        <w:t xml:space="preserve"> </w:t>
      </w:r>
      <w:r w:rsidR="00980C30">
        <w:t xml:space="preserve">either of the </w:t>
      </w:r>
      <w:r w:rsidR="004E4D5B" w:rsidRPr="00E0734D">
        <w:t xml:space="preserve">following </w:t>
      </w:r>
      <w:r w:rsidR="00CC0F63">
        <w:t>g</w:t>
      </w:r>
      <w:r w:rsidR="004E4D5B" w:rsidRPr="00E0734D">
        <w:t>radation requirements:</w:t>
      </w:r>
    </w:p>
    <w:p w14:paraId="0CD79384" w14:textId="77777777" w:rsidR="00C427F8" w:rsidRPr="00E0734D" w:rsidRDefault="00C427F8" w:rsidP="003C4654">
      <w:pPr>
        <w:jc w:val="both"/>
      </w:pPr>
    </w:p>
    <w:tbl>
      <w:tblPr>
        <w:tblStyle w:val="TableGrid"/>
        <w:tblW w:w="0" w:type="auto"/>
        <w:tblInd w:w="720" w:type="dxa"/>
        <w:tblLook w:val="04A0" w:firstRow="1" w:lastRow="0" w:firstColumn="1" w:lastColumn="0" w:noHBand="0" w:noVBand="1"/>
      </w:tblPr>
      <w:tblGrid>
        <w:gridCol w:w="2917"/>
        <w:gridCol w:w="2973"/>
        <w:gridCol w:w="2966"/>
      </w:tblGrid>
      <w:tr w:rsidR="00980C30" w:rsidRPr="00AA57B3" w14:paraId="24AAD564" w14:textId="77777777" w:rsidTr="00980C30">
        <w:tc>
          <w:tcPr>
            <w:tcW w:w="2917" w:type="dxa"/>
            <w:vAlign w:val="center"/>
          </w:tcPr>
          <w:p w14:paraId="4542F935" w14:textId="77777777" w:rsidR="00980C30" w:rsidRPr="00335EBD" w:rsidRDefault="00980C30" w:rsidP="003C4654">
            <w:pPr>
              <w:rPr>
                <w:b/>
              </w:rPr>
            </w:pPr>
            <w:r w:rsidRPr="00335EBD">
              <w:rPr>
                <w:b/>
              </w:rPr>
              <w:t>Sieve Size</w:t>
            </w:r>
          </w:p>
        </w:tc>
        <w:tc>
          <w:tcPr>
            <w:tcW w:w="2973" w:type="dxa"/>
            <w:vAlign w:val="center"/>
          </w:tcPr>
          <w:p w14:paraId="355F4052" w14:textId="77777777" w:rsidR="00980C30" w:rsidRPr="00335EBD" w:rsidRDefault="00980C30" w:rsidP="003C4654">
            <w:pPr>
              <w:rPr>
                <w:b/>
                <w:bCs/>
              </w:rPr>
            </w:pPr>
            <w:r w:rsidRPr="00335EBD">
              <w:rPr>
                <w:b/>
                <w:bCs/>
              </w:rPr>
              <w:t>% Passing by Weight</w:t>
            </w:r>
          </w:p>
        </w:tc>
        <w:tc>
          <w:tcPr>
            <w:tcW w:w="2966" w:type="dxa"/>
          </w:tcPr>
          <w:p w14:paraId="22334A01" w14:textId="77777777" w:rsidR="00980C30" w:rsidRPr="00335EBD" w:rsidRDefault="00980C30" w:rsidP="003C4654">
            <w:pPr>
              <w:rPr>
                <w:b/>
                <w:bCs/>
              </w:rPr>
            </w:pPr>
            <w:r w:rsidRPr="00335EBD">
              <w:rPr>
                <w:b/>
                <w:bCs/>
              </w:rPr>
              <w:t>% Passing by Weight</w:t>
            </w:r>
          </w:p>
        </w:tc>
      </w:tr>
      <w:tr w:rsidR="00980C30" w14:paraId="23EA0B0E" w14:textId="77777777" w:rsidTr="00980C30">
        <w:tc>
          <w:tcPr>
            <w:tcW w:w="2917" w:type="dxa"/>
            <w:vAlign w:val="center"/>
          </w:tcPr>
          <w:p w14:paraId="48C92CAD" w14:textId="77777777" w:rsidR="00980C30" w:rsidRDefault="00BB642D" w:rsidP="003C4654">
            <w:r>
              <w:t>1/2-</w:t>
            </w:r>
            <w:r w:rsidR="00E810AE">
              <w:t>in</w:t>
            </w:r>
          </w:p>
        </w:tc>
        <w:tc>
          <w:tcPr>
            <w:tcW w:w="2973" w:type="dxa"/>
            <w:vAlign w:val="center"/>
          </w:tcPr>
          <w:p w14:paraId="68C3D065" w14:textId="77777777" w:rsidR="00980C30" w:rsidRDefault="00980C30" w:rsidP="003C4654">
            <w:r>
              <w:t>100</w:t>
            </w:r>
          </w:p>
        </w:tc>
        <w:tc>
          <w:tcPr>
            <w:tcW w:w="2966" w:type="dxa"/>
          </w:tcPr>
          <w:p w14:paraId="3B1EB3F1" w14:textId="77777777" w:rsidR="00980C30" w:rsidRDefault="00980C30" w:rsidP="003C4654">
            <w:r>
              <w:t>100</w:t>
            </w:r>
          </w:p>
        </w:tc>
      </w:tr>
      <w:tr w:rsidR="00980C30" w14:paraId="566567B3" w14:textId="77777777" w:rsidTr="00980C30">
        <w:tc>
          <w:tcPr>
            <w:tcW w:w="2917" w:type="dxa"/>
            <w:vAlign w:val="center"/>
          </w:tcPr>
          <w:p w14:paraId="64B6DE24" w14:textId="77777777" w:rsidR="00980C30" w:rsidRPr="00335EBD" w:rsidRDefault="00BB642D" w:rsidP="003C4654">
            <w:r>
              <w:t>3/8-</w:t>
            </w:r>
            <w:r w:rsidR="00797556">
              <w:t>i</w:t>
            </w:r>
            <w:r w:rsidR="00E810AE">
              <w:t>n</w:t>
            </w:r>
          </w:p>
        </w:tc>
        <w:tc>
          <w:tcPr>
            <w:tcW w:w="2973" w:type="dxa"/>
            <w:vAlign w:val="center"/>
          </w:tcPr>
          <w:p w14:paraId="567504E9" w14:textId="77777777" w:rsidR="00980C30" w:rsidRPr="00335EBD" w:rsidRDefault="00980C30" w:rsidP="003C4654">
            <w:r>
              <w:t>100</w:t>
            </w:r>
          </w:p>
        </w:tc>
        <w:tc>
          <w:tcPr>
            <w:tcW w:w="2966" w:type="dxa"/>
          </w:tcPr>
          <w:p w14:paraId="624A45D2" w14:textId="77777777" w:rsidR="00980C30" w:rsidRDefault="00980C30" w:rsidP="003C4654">
            <w:r>
              <w:t>83-100</w:t>
            </w:r>
          </w:p>
        </w:tc>
      </w:tr>
      <w:tr w:rsidR="00980C30" w14:paraId="14EFD527" w14:textId="77777777" w:rsidTr="00980C30">
        <w:tc>
          <w:tcPr>
            <w:tcW w:w="2917" w:type="dxa"/>
            <w:vAlign w:val="center"/>
          </w:tcPr>
          <w:p w14:paraId="0B4812C6" w14:textId="77777777" w:rsidR="00980C30" w:rsidRPr="00335EBD" w:rsidRDefault="00980C30" w:rsidP="003C4654">
            <w:pPr>
              <w:rPr>
                <w:b/>
                <w:bCs/>
              </w:rPr>
            </w:pPr>
            <w:r w:rsidRPr="00335EBD">
              <w:t>No. 4</w:t>
            </w:r>
          </w:p>
        </w:tc>
        <w:tc>
          <w:tcPr>
            <w:tcW w:w="2973" w:type="dxa"/>
            <w:vAlign w:val="center"/>
          </w:tcPr>
          <w:p w14:paraId="6704FA1D" w14:textId="77777777" w:rsidR="00980C30" w:rsidRPr="00335EBD" w:rsidRDefault="00980C30" w:rsidP="003C4654">
            <w:pPr>
              <w:rPr>
                <w:b/>
                <w:bCs/>
              </w:rPr>
            </w:pPr>
            <w:r>
              <w:t>62-85</w:t>
            </w:r>
          </w:p>
        </w:tc>
        <w:tc>
          <w:tcPr>
            <w:tcW w:w="2966" w:type="dxa"/>
          </w:tcPr>
          <w:p w14:paraId="44FC0F9D" w14:textId="77777777" w:rsidR="00980C30" w:rsidRDefault="00980C30" w:rsidP="003C4654">
            <w:r>
              <w:t>65-82</w:t>
            </w:r>
          </w:p>
        </w:tc>
      </w:tr>
      <w:tr w:rsidR="00980C30" w:rsidRPr="00335EBD" w14:paraId="130DB5D9" w14:textId="77777777" w:rsidTr="00980C30">
        <w:tc>
          <w:tcPr>
            <w:tcW w:w="2917" w:type="dxa"/>
            <w:vAlign w:val="center"/>
          </w:tcPr>
          <w:p w14:paraId="4FD0E7D9" w14:textId="77777777" w:rsidR="00980C30" w:rsidRPr="00335EBD" w:rsidRDefault="00980C30" w:rsidP="003C4654">
            <w:pPr>
              <w:rPr>
                <w:b/>
                <w:bCs/>
              </w:rPr>
            </w:pPr>
            <w:r w:rsidRPr="00335EBD">
              <w:t>No. 8</w:t>
            </w:r>
          </w:p>
        </w:tc>
        <w:tc>
          <w:tcPr>
            <w:tcW w:w="2973" w:type="dxa"/>
            <w:vAlign w:val="center"/>
          </w:tcPr>
          <w:p w14:paraId="1C5B4FE5" w14:textId="77777777" w:rsidR="00980C30" w:rsidRPr="00335EBD" w:rsidRDefault="00980C30" w:rsidP="003C4654">
            <w:pPr>
              <w:rPr>
                <w:b/>
                <w:bCs/>
              </w:rPr>
            </w:pPr>
            <w:r>
              <w:t>45-67</w:t>
            </w:r>
          </w:p>
        </w:tc>
        <w:tc>
          <w:tcPr>
            <w:tcW w:w="2966" w:type="dxa"/>
          </w:tcPr>
          <w:p w14:paraId="7614B26B" w14:textId="77777777" w:rsidR="00980C30" w:rsidRDefault="00980C30" w:rsidP="003C4654">
            <w:r>
              <w:t>45-64</w:t>
            </w:r>
          </w:p>
        </w:tc>
      </w:tr>
      <w:tr w:rsidR="00980C30" w:rsidRPr="00335EBD" w14:paraId="5AAF46DC" w14:textId="77777777" w:rsidTr="00980C30">
        <w:tc>
          <w:tcPr>
            <w:tcW w:w="2917" w:type="dxa"/>
            <w:vAlign w:val="center"/>
          </w:tcPr>
          <w:p w14:paraId="10060CCB" w14:textId="77777777" w:rsidR="00980C30" w:rsidRPr="00335EBD" w:rsidRDefault="00980C30" w:rsidP="003C4654">
            <w:pPr>
              <w:rPr>
                <w:b/>
                <w:bCs/>
              </w:rPr>
            </w:pPr>
            <w:r w:rsidRPr="00335EBD">
              <w:t>No. 16</w:t>
            </w:r>
          </w:p>
        </w:tc>
        <w:tc>
          <w:tcPr>
            <w:tcW w:w="2973" w:type="dxa"/>
            <w:vAlign w:val="center"/>
          </w:tcPr>
          <w:p w14:paraId="53257BBF" w14:textId="77777777" w:rsidR="00980C30" w:rsidRPr="00335EBD" w:rsidRDefault="00980C30" w:rsidP="003C4654">
            <w:pPr>
              <w:rPr>
                <w:b/>
                <w:bCs/>
              </w:rPr>
            </w:pPr>
            <w:r>
              <w:t>29-50</w:t>
            </w:r>
          </w:p>
        </w:tc>
        <w:tc>
          <w:tcPr>
            <w:tcW w:w="2966" w:type="dxa"/>
          </w:tcPr>
          <w:p w14:paraId="60092A79" w14:textId="77777777" w:rsidR="00980C30" w:rsidRDefault="00980C30" w:rsidP="003C4654">
            <w:r>
              <w:t>27-48</w:t>
            </w:r>
          </w:p>
        </w:tc>
      </w:tr>
      <w:tr w:rsidR="00980C30" w:rsidRPr="00335EBD" w14:paraId="0CC8A1E6" w14:textId="77777777" w:rsidTr="00980C30">
        <w:tc>
          <w:tcPr>
            <w:tcW w:w="2917" w:type="dxa"/>
            <w:vAlign w:val="center"/>
          </w:tcPr>
          <w:p w14:paraId="113E5D23" w14:textId="77777777" w:rsidR="00980C30" w:rsidRPr="00335EBD" w:rsidRDefault="00980C30" w:rsidP="003C4654">
            <w:pPr>
              <w:rPr>
                <w:b/>
                <w:bCs/>
              </w:rPr>
            </w:pPr>
            <w:r w:rsidRPr="00335EBD">
              <w:t>No. 30</w:t>
            </w:r>
          </w:p>
        </w:tc>
        <w:tc>
          <w:tcPr>
            <w:tcW w:w="2973" w:type="dxa"/>
            <w:vAlign w:val="center"/>
          </w:tcPr>
          <w:p w14:paraId="2087BAD1" w14:textId="77777777" w:rsidR="00980C30" w:rsidRPr="00335EBD" w:rsidRDefault="00980C30" w:rsidP="003C4654">
            <w:pPr>
              <w:rPr>
                <w:b/>
                <w:bCs/>
              </w:rPr>
            </w:pPr>
            <w:r>
              <w:t>16-36</w:t>
            </w:r>
          </w:p>
        </w:tc>
        <w:tc>
          <w:tcPr>
            <w:tcW w:w="2966" w:type="dxa"/>
          </w:tcPr>
          <w:p w14:paraId="1216B91F" w14:textId="77777777" w:rsidR="00980C30" w:rsidRDefault="00980C30" w:rsidP="003C4654">
            <w:r>
              <w:t>12-30</w:t>
            </w:r>
          </w:p>
        </w:tc>
      </w:tr>
      <w:tr w:rsidR="00980C30" w:rsidRPr="00335EBD" w14:paraId="06395F43" w14:textId="77777777" w:rsidTr="00980C30">
        <w:tc>
          <w:tcPr>
            <w:tcW w:w="2917" w:type="dxa"/>
            <w:vAlign w:val="center"/>
          </w:tcPr>
          <w:p w14:paraId="07F79A8C" w14:textId="77777777" w:rsidR="00980C30" w:rsidRPr="00335EBD" w:rsidRDefault="00980C30" w:rsidP="003C4654">
            <w:r>
              <w:t>No. 50</w:t>
            </w:r>
          </w:p>
        </w:tc>
        <w:tc>
          <w:tcPr>
            <w:tcW w:w="2973" w:type="dxa"/>
            <w:vAlign w:val="center"/>
          </w:tcPr>
          <w:p w14:paraId="40F0A3DB" w14:textId="77777777" w:rsidR="00980C30" w:rsidRDefault="00980C30" w:rsidP="003C4654">
            <w:r>
              <w:t>5-20</w:t>
            </w:r>
          </w:p>
        </w:tc>
        <w:tc>
          <w:tcPr>
            <w:tcW w:w="2966" w:type="dxa"/>
          </w:tcPr>
          <w:p w14:paraId="6ACAEED5" w14:textId="77777777" w:rsidR="00980C30" w:rsidRDefault="00980C30" w:rsidP="003C4654">
            <w:r>
              <w:t>6-17</w:t>
            </w:r>
          </w:p>
        </w:tc>
      </w:tr>
      <w:tr w:rsidR="00980C30" w:rsidRPr="00335EBD" w14:paraId="7315D7FA" w14:textId="77777777" w:rsidTr="00980C30">
        <w:tc>
          <w:tcPr>
            <w:tcW w:w="2917" w:type="dxa"/>
            <w:vAlign w:val="center"/>
          </w:tcPr>
          <w:p w14:paraId="620846CF" w14:textId="77777777" w:rsidR="00980C30" w:rsidRPr="00335EBD" w:rsidRDefault="00980C30" w:rsidP="003C4654">
            <w:r>
              <w:t>No. 100</w:t>
            </w:r>
          </w:p>
        </w:tc>
        <w:tc>
          <w:tcPr>
            <w:tcW w:w="2973" w:type="dxa"/>
            <w:vAlign w:val="center"/>
          </w:tcPr>
          <w:p w14:paraId="72915940" w14:textId="77777777" w:rsidR="00980C30" w:rsidRDefault="00980C30" w:rsidP="003C4654">
            <w:r>
              <w:t>0-7</w:t>
            </w:r>
          </w:p>
        </w:tc>
        <w:tc>
          <w:tcPr>
            <w:tcW w:w="2966" w:type="dxa"/>
          </w:tcPr>
          <w:p w14:paraId="4D19D539" w14:textId="77777777" w:rsidR="00980C30" w:rsidRDefault="00980C30" w:rsidP="003C4654">
            <w:r>
              <w:t>0-7</w:t>
            </w:r>
          </w:p>
        </w:tc>
      </w:tr>
      <w:tr w:rsidR="00980C30" w:rsidRPr="00335EBD" w14:paraId="4DA4DEC4" w14:textId="77777777" w:rsidTr="00980C30">
        <w:tc>
          <w:tcPr>
            <w:tcW w:w="2917" w:type="dxa"/>
            <w:vAlign w:val="center"/>
          </w:tcPr>
          <w:p w14:paraId="280B7DB8" w14:textId="77777777" w:rsidR="00980C30" w:rsidRDefault="00980C30" w:rsidP="003C4654">
            <w:r>
              <w:lastRenderedPageBreak/>
              <w:t>No. 200</w:t>
            </w:r>
          </w:p>
        </w:tc>
        <w:tc>
          <w:tcPr>
            <w:tcW w:w="2973" w:type="dxa"/>
            <w:vAlign w:val="center"/>
          </w:tcPr>
          <w:p w14:paraId="5BE2C4E6" w14:textId="77777777" w:rsidR="00980C30" w:rsidRDefault="00980C30" w:rsidP="003C4654">
            <w:r>
              <w:t>0-3</w:t>
            </w:r>
          </w:p>
        </w:tc>
        <w:tc>
          <w:tcPr>
            <w:tcW w:w="2966" w:type="dxa"/>
          </w:tcPr>
          <w:p w14:paraId="25A88938" w14:textId="77777777" w:rsidR="00980C30" w:rsidRDefault="00980C30" w:rsidP="003C4654">
            <w:r>
              <w:t>0-3</w:t>
            </w:r>
          </w:p>
        </w:tc>
      </w:tr>
    </w:tbl>
    <w:p w14:paraId="4902F299" w14:textId="77777777" w:rsidR="00CB1336" w:rsidRDefault="00CB1336" w:rsidP="003C4654">
      <w:pPr>
        <w:jc w:val="both"/>
        <w:rPr>
          <w:b/>
        </w:rPr>
      </w:pPr>
    </w:p>
    <w:p w14:paraId="1121B8EB" w14:textId="77777777" w:rsidR="006758C5" w:rsidRDefault="006758C5" w:rsidP="003C4654">
      <w:pPr>
        <w:jc w:val="both"/>
        <w:rPr>
          <w:bCs/>
        </w:rPr>
      </w:pPr>
      <w:r>
        <w:rPr>
          <w:bCs/>
        </w:rPr>
        <w:t xml:space="preserve">The coarse aggregate shall have a </w:t>
      </w:r>
      <w:r w:rsidR="00D5162E">
        <w:rPr>
          <w:bCs/>
        </w:rPr>
        <w:t>M</w:t>
      </w:r>
      <w:r>
        <w:rPr>
          <w:bCs/>
        </w:rPr>
        <w:t xml:space="preserve">oh’s </w:t>
      </w:r>
      <w:r w:rsidR="006D3C56">
        <w:rPr>
          <w:bCs/>
        </w:rPr>
        <w:t>hardness of 7.0 or greater.</w:t>
      </w:r>
      <w:r w:rsidR="00BB642D">
        <w:rPr>
          <w:bCs/>
        </w:rPr>
        <w:t xml:space="preserve"> </w:t>
      </w:r>
      <w:r w:rsidR="006D3C56">
        <w:rPr>
          <w:bCs/>
        </w:rPr>
        <w:t xml:space="preserve"> The percent wear shall not exceed 50%, and the weighted soundness loss shall not exceed 12% per ASTM C131</w:t>
      </w:r>
      <w:r w:rsidR="00D5162E">
        <w:rPr>
          <w:bCs/>
        </w:rPr>
        <w:t>and C88, respectively.</w:t>
      </w:r>
    </w:p>
    <w:p w14:paraId="55BFC0F9" w14:textId="77777777" w:rsidR="006758C5" w:rsidRDefault="006758C5" w:rsidP="003C4654">
      <w:pPr>
        <w:jc w:val="both"/>
        <w:rPr>
          <w:bCs/>
        </w:rPr>
      </w:pPr>
    </w:p>
    <w:p w14:paraId="385AF3BD" w14:textId="5776E9BD" w:rsidR="00C427F8" w:rsidRPr="00335EBD" w:rsidRDefault="00536463" w:rsidP="003C4654">
      <w:pPr>
        <w:jc w:val="both"/>
      </w:pPr>
      <w:r>
        <w:rPr>
          <w:bCs/>
        </w:rPr>
        <w:t xml:space="preserve">Aggregates </w:t>
      </w:r>
      <w:r w:rsidR="00CC0F63">
        <w:rPr>
          <w:bCs/>
        </w:rPr>
        <w:t xml:space="preserve">shall have an </w:t>
      </w:r>
      <w:r>
        <w:rPr>
          <w:bCs/>
        </w:rPr>
        <w:t xml:space="preserve">absorption </w:t>
      </w:r>
      <w:r w:rsidR="00152B6F">
        <w:rPr>
          <w:bCs/>
        </w:rPr>
        <w:t>not to exceed</w:t>
      </w:r>
      <w:r>
        <w:rPr>
          <w:bCs/>
        </w:rPr>
        <w:t xml:space="preserve"> 1% and </w:t>
      </w:r>
      <w:r w:rsidR="00152B6F">
        <w:rPr>
          <w:bCs/>
        </w:rPr>
        <w:t xml:space="preserve">the moisture content shall not exceed one half of the aggregate absorption.  </w:t>
      </w:r>
      <w:r w:rsidR="00CC0F63">
        <w:rPr>
          <w:bCs/>
        </w:rPr>
        <w:t>Aggregates retained on the No. 8 sieve shall have a maximum of 45% crushed particles</w:t>
      </w:r>
      <w:r w:rsidR="00D31C47">
        <w:rPr>
          <w:bCs/>
        </w:rPr>
        <w:t xml:space="preserve"> when tested in accordance with AASHTO Test Method T335</w:t>
      </w:r>
      <w:r w:rsidR="00D31C47">
        <w:t>.</w:t>
      </w:r>
    </w:p>
    <w:p w14:paraId="144566FD" w14:textId="77777777" w:rsidR="00CC0F63" w:rsidRPr="00536463" w:rsidRDefault="00CC0F63" w:rsidP="003C4654">
      <w:pPr>
        <w:jc w:val="both"/>
        <w:rPr>
          <w:bCs/>
        </w:rPr>
      </w:pPr>
    </w:p>
    <w:p w14:paraId="458CBCC5" w14:textId="77777777" w:rsidR="00536463" w:rsidRDefault="00536463" w:rsidP="003C4654">
      <w:pPr>
        <w:jc w:val="both"/>
        <w:rPr>
          <w:bCs/>
        </w:rPr>
      </w:pPr>
      <w:r>
        <w:rPr>
          <w:bCs/>
        </w:rPr>
        <w:t>The finishing sand aggregate shall be commercial quality dry blast sand</w:t>
      </w:r>
      <w:r w:rsidR="005F59D4">
        <w:rPr>
          <w:bCs/>
        </w:rPr>
        <w:t xml:space="preserve"> with an average absorption of no more than </w:t>
      </w:r>
      <w:r w:rsidR="006758C5">
        <w:rPr>
          <w:bCs/>
        </w:rPr>
        <w:t>1%</w:t>
      </w:r>
      <w:r w:rsidR="005F59D4">
        <w:rPr>
          <w:bCs/>
        </w:rPr>
        <w:t xml:space="preserve">. </w:t>
      </w:r>
      <w:r w:rsidR="0061036E">
        <w:rPr>
          <w:bCs/>
        </w:rPr>
        <w:t xml:space="preserve"> </w:t>
      </w:r>
      <w:r w:rsidR="005F59D4">
        <w:rPr>
          <w:bCs/>
        </w:rPr>
        <w:t>95% of the sand shall p</w:t>
      </w:r>
      <w:r>
        <w:rPr>
          <w:bCs/>
        </w:rPr>
        <w:t xml:space="preserve">ass the No. 8 sieve and at least 95% </w:t>
      </w:r>
      <w:r w:rsidR="00057EE8">
        <w:rPr>
          <w:bCs/>
        </w:rPr>
        <w:t xml:space="preserve">shall be </w:t>
      </w:r>
      <w:r>
        <w:rPr>
          <w:bCs/>
        </w:rPr>
        <w:t xml:space="preserve">retained on the No. 20 sieve. </w:t>
      </w:r>
    </w:p>
    <w:p w14:paraId="4332A8A2" w14:textId="77777777" w:rsidR="00536463" w:rsidRDefault="00536463" w:rsidP="003C4654">
      <w:pPr>
        <w:jc w:val="both"/>
        <w:rPr>
          <w:b/>
        </w:rPr>
      </w:pPr>
    </w:p>
    <w:p w14:paraId="097C2B3E" w14:textId="77777777" w:rsidR="00CB1336" w:rsidRDefault="008467A3" w:rsidP="003C4654">
      <w:pPr>
        <w:jc w:val="both"/>
        <w:rPr>
          <w:b/>
        </w:rPr>
      </w:pPr>
      <w:r>
        <w:rPr>
          <w:b/>
        </w:rPr>
        <w:t xml:space="preserve">B.4  </w:t>
      </w:r>
      <w:r w:rsidR="00CB1336" w:rsidRPr="00750AD8">
        <w:rPr>
          <w:b/>
        </w:rPr>
        <w:t>Required Properties of Overlay System</w:t>
      </w:r>
    </w:p>
    <w:p w14:paraId="7B939B92" w14:textId="77777777" w:rsidR="00CB1336" w:rsidRDefault="00CB1336" w:rsidP="003C4654">
      <w:pPr>
        <w:jc w:val="both"/>
      </w:pPr>
      <w:r>
        <w:t>The required properties of the overlay system are listed in the table below:</w:t>
      </w:r>
    </w:p>
    <w:p w14:paraId="68C43D20" w14:textId="77777777" w:rsidR="00CB1336" w:rsidRDefault="00CB1336" w:rsidP="003C4654">
      <w:pPr>
        <w:jc w:val="both"/>
      </w:pPr>
    </w:p>
    <w:tbl>
      <w:tblPr>
        <w:tblStyle w:val="TableGrid"/>
        <w:tblW w:w="7555" w:type="dxa"/>
        <w:jc w:val="center"/>
        <w:tblLook w:val="04A0" w:firstRow="1" w:lastRow="0" w:firstColumn="1" w:lastColumn="0" w:noHBand="0" w:noVBand="1"/>
      </w:tblPr>
      <w:tblGrid>
        <w:gridCol w:w="2515"/>
        <w:gridCol w:w="2160"/>
        <w:gridCol w:w="2880"/>
      </w:tblGrid>
      <w:tr w:rsidR="00CB1336" w:rsidRPr="00AA57B3" w14:paraId="0605A6FD" w14:textId="77777777" w:rsidTr="00334F1D">
        <w:trPr>
          <w:jc w:val="center"/>
        </w:trPr>
        <w:tc>
          <w:tcPr>
            <w:tcW w:w="2515" w:type="dxa"/>
          </w:tcPr>
          <w:p w14:paraId="4B69F607" w14:textId="77777777" w:rsidR="00CB1336" w:rsidRPr="00AA57B3" w:rsidRDefault="00CB1336" w:rsidP="00334F1D">
            <w:pPr>
              <w:ind w:left="0"/>
              <w:rPr>
                <w:b/>
              </w:rPr>
            </w:pPr>
            <w:r>
              <w:rPr>
                <w:b/>
              </w:rPr>
              <w:t>Property</w:t>
            </w:r>
          </w:p>
        </w:tc>
        <w:tc>
          <w:tcPr>
            <w:tcW w:w="2160" w:type="dxa"/>
          </w:tcPr>
          <w:p w14:paraId="3B10389E" w14:textId="7B7291A9" w:rsidR="00CB1336" w:rsidRPr="00AA57B3" w:rsidRDefault="00CB1336" w:rsidP="00334F1D">
            <w:pPr>
              <w:ind w:left="0"/>
              <w:rPr>
                <w:b/>
              </w:rPr>
            </w:pPr>
            <w:r>
              <w:rPr>
                <w:b/>
              </w:rPr>
              <w:t>Requirements</w:t>
            </w:r>
            <w:r w:rsidR="00367DF0">
              <w:rPr>
                <w:b/>
              </w:rPr>
              <w:t xml:space="preserve"> </w:t>
            </w:r>
            <w:r w:rsidRPr="00750AD8">
              <w:rPr>
                <w:vertAlign w:val="superscript"/>
              </w:rPr>
              <w:t>A</w:t>
            </w:r>
          </w:p>
        </w:tc>
        <w:tc>
          <w:tcPr>
            <w:tcW w:w="2880" w:type="dxa"/>
          </w:tcPr>
          <w:p w14:paraId="7858E993" w14:textId="77777777" w:rsidR="00CB1336" w:rsidRPr="00AA57B3" w:rsidRDefault="00CB1336" w:rsidP="00334F1D">
            <w:pPr>
              <w:ind w:left="0"/>
              <w:rPr>
                <w:b/>
              </w:rPr>
            </w:pPr>
            <w:r>
              <w:rPr>
                <w:b/>
              </w:rPr>
              <w:t>Test Method</w:t>
            </w:r>
          </w:p>
        </w:tc>
      </w:tr>
      <w:tr w:rsidR="00CB1336" w14:paraId="001187CD" w14:textId="77777777" w:rsidTr="00334F1D">
        <w:trPr>
          <w:jc w:val="center"/>
        </w:trPr>
        <w:tc>
          <w:tcPr>
            <w:tcW w:w="2515" w:type="dxa"/>
          </w:tcPr>
          <w:p w14:paraId="21E3F1AF" w14:textId="77777777" w:rsidR="00CB1336" w:rsidRDefault="00CB1336" w:rsidP="00334F1D">
            <w:pPr>
              <w:ind w:left="0"/>
            </w:pPr>
            <w:r>
              <w:t>Minimum Compressive Strength</w:t>
            </w:r>
          </w:p>
        </w:tc>
        <w:tc>
          <w:tcPr>
            <w:tcW w:w="2160" w:type="dxa"/>
          </w:tcPr>
          <w:p w14:paraId="40BB7BC6" w14:textId="77777777" w:rsidR="00CB1336" w:rsidRDefault="00294371" w:rsidP="00334F1D">
            <w:pPr>
              <w:ind w:left="0"/>
            </w:pPr>
            <w:r>
              <w:t>2</w:t>
            </w:r>
            <w:r w:rsidR="00CB1336">
              <w:t>,000 psi (8 hrs)</w:t>
            </w:r>
          </w:p>
          <w:p w14:paraId="7388336B" w14:textId="77777777" w:rsidR="00CB1336" w:rsidRDefault="00CB1336" w:rsidP="00334F1D">
            <w:pPr>
              <w:ind w:left="0"/>
            </w:pPr>
            <w:r>
              <w:t>5,000 psi (24 hrs)</w:t>
            </w:r>
          </w:p>
        </w:tc>
        <w:tc>
          <w:tcPr>
            <w:tcW w:w="2880" w:type="dxa"/>
          </w:tcPr>
          <w:p w14:paraId="4B297D91" w14:textId="77777777" w:rsidR="00CB1336" w:rsidRDefault="00CB1336" w:rsidP="00334F1D">
            <w:pPr>
              <w:ind w:left="0"/>
            </w:pPr>
            <w:r w:rsidRPr="00335EBD">
              <w:t>ASTM C</w:t>
            </w:r>
            <w:r>
              <w:t xml:space="preserve"> 579</w:t>
            </w:r>
          </w:p>
          <w:p w14:paraId="11C2FA85" w14:textId="77777777" w:rsidR="00CB1336" w:rsidRDefault="00CB1336" w:rsidP="00334F1D">
            <w:pPr>
              <w:ind w:left="0"/>
            </w:pPr>
            <w:r>
              <w:t xml:space="preserve">Method B, Modified </w:t>
            </w:r>
            <w:r w:rsidRPr="00750AD8">
              <w:rPr>
                <w:vertAlign w:val="superscript"/>
              </w:rPr>
              <w:t>B</w:t>
            </w:r>
          </w:p>
        </w:tc>
      </w:tr>
      <w:tr w:rsidR="00CB1336" w14:paraId="06D64C6B" w14:textId="77777777" w:rsidTr="00334F1D">
        <w:trPr>
          <w:jc w:val="center"/>
        </w:trPr>
        <w:tc>
          <w:tcPr>
            <w:tcW w:w="2515" w:type="dxa"/>
            <w:vAlign w:val="center"/>
          </w:tcPr>
          <w:p w14:paraId="3B9381E3" w14:textId="77777777" w:rsidR="00CB1336" w:rsidRPr="00335EBD" w:rsidRDefault="00AC6664" w:rsidP="00334F1D">
            <w:pPr>
              <w:ind w:left="0"/>
            </w:pPr>
            <w:r>
              <w:t>Set Time</w:t>
            </w:r>
          </w:p>
        </w:tc>
        <w:tc>
          <w:tcPr>
            <w:tcW w:w="2160" w:type="dxa"/>
            <w:vAlign w:val="center"/>
          </w:tcPr>
          <w:p w14:paraId="24EAC712" w14:textId="77777777" w:rsidR="00CB1336" w:rsidRPr="00335EBD" w:rsidRDefault="00AC6664" w:rsidP="00334F1D">
            <w:pPr>
              <w:ind w:left="0"/>
            </w:pPr>
            <w:r>
              <w:t>30-120 minutes</w:t>
            </w:r>
          </w:p>
        </w:tc>
        <w:tc>
          <w:tcPr>
            <w:tcW w:w="2880" w:type="dxa"/>
            <w:vAlign w:val="center"/>
          </w:tcPr>
          <w:p w14:paraId="5DE3CA57" w14:textId="77777777" w:rsidR="00CB1336" w:rsidRPr="00335EBD" w:rsidRDefault="00CB1336" w:rsidP="00334F1D">
            <w:pPr>
              <w:ind w:left="0"/>
            </w:pPr>
            <w:r>
              <w:t xml:space="preserve">ASTM C </w:t>
            </w:r>
            <w:r w:rsidR="00AC6664">
              <w:t>266</w:t>
            </w:r>
          </w:p>
        </w:tc>
      </w:tr>
      <w:tr w:rsidR="00CB1336" w14:paraId="6AE21C28" w14:textId="77777777" w:rsidTr="00334F1D">
        <w:trPr>
          <w:jc w:val="center"/>
        </w:trPr>
        <w:tc>
          <w:tcPr>
            <w:tcW w:w="2515" w:type="dxa"/>
            <w:vAlign w:val="center"/>
          </w:tcPr>
          <w:p w14:paraId="663E4C0E" w14:textId="77777777" w:rsidR="00CB1336" w:rsidRPr="00335EBD" w:rsidRDefault="00CB1336" w:rsidP="00334F1D">
            <w:pPr>
              <w:ind w:left="0"/>
            </w:pPr>
            <w:r>
              <w:t>Minimum Pull-off Strength</w:t>
            </w:r>
          </w:p>
        </w:tc>
        <w:tc>
          <w:tcPr>
            <w:tcW w:w="2160" w:type="dxa"/>
            <w:vAlign w:val="center"/>
          </w:tcPr>
          <w:p w14:paraId="7EF8B536" w14:textId="77777777" w:rsidR="00CB1336" w:rsidRPr="00335EBD" w:rsidRDefault="00294371" w:rsidP="00334F1D">
            <w:pPr>
              <w:ind w:left="0"/>
            </w:pPr>
            <w:r>
              <w:t>50</w:t>
            </w:r>
            <w:r w:rsidR="00CB1336">
              <w:t>0 psi (24 hrs)</w:t>
            </w:r>
          </w:p>
        </w:tc>
        <w:tc>
          <w:tcPr>
            <w:tcW w:w="2880" w:type="dxa"/>
            <w:vAlign w:val="center"/>
          </w:tcPr>
          <w:p w14:paraId="264CC9B0" w14:textId="4166831A" w:rsidR="00CB1336" w:rsidRPr="00335EBD" w:rsidRDefault="00334F1D">
            <w:pPr>
              <w:ind w:left="0"/>
            </w:pPr>
            <w:r>
              <w:t xml:space="preserve">ASTM C1583 </w:t>
            </w:r>
          </w:p>
        </w:tc>
      </w:tr>
    </w:tbl>
    <w:p w14:paraId="7F5F25B6" w14:textId="77777777" w:rsidR="00CB1336" w:rsidRDefault="00CB1336" w:rsidP="003C4654">
      <w:pPr>
        <w:jc w:val="both"/>
      </w:pPr>
      <w:r>
        <w:tab/>
      </w:r>
      <w:r w:rsidRPr="00750AD8">
        <w:rPr>
          <w:vertAlign w:val="superscript"/>
        </w:rPr>
        <w:t>A</w:t>
      </w:r>
      <w:r>
        <w:t xml:space="preserve"> Based on samples cured or aged and tested at 75°F</w:t>
      </w:r>
    </w:p>
    <w:p w14:paraId="0036A8A3" w14:textId="77777777" w:rsidR="00CB1336" w:rsidRDefault="00CB1336" w:rsidP="003C4654">
      <w:pPr>
        <w:ind w:left="1440" w:hanging="720"/>
        <w:jc w:val="both"/>
      </w:pPr>
      <w:r>
        <w:tab/>
      </w:r>
      <w:r w:rsidRPr="00750AD8">
        <w:rPr>
          <w:vertAlign w:val="superscript"/>
        </w:rPr>
        <w:t>B</w:t>
      </w:r>
      <w:r>
        <w:t xml:space="preserve"> Plastic inserts that will provide 2-in by 2-in cubes shall be placed in the oversized brass molds.</w:t>
      </w:r>
    </w:p>
    <w:p w14:paraId="4BF02FE2" w14:textId="77777777" w:rsidR="00930D7B" w:rsidRDefault="00930D7B" w:rsidP="003C4654">
      <w:pPr>
        <w:jc w:val="both"/>
      </w:pPr>
    </w:p>
    <w:p w14:paraId="5869D38F" w14:textId="77777777" w:rsidR="00CB1336" w:rsidRDefault="008467A3" w:rsidP="003C4654">
      <w:pPr>
        <w:jc w:val="both"/>
        <w:rPr>
          <w:b/>
          <w:bCs/>
        </w:rPr>
      </w:pPr>
      <w:r>
        <w:rPr>
          <w:b/>
          <w:bCs/>
        </w:rPr>
        <w:t xml:space="preserve">B.5  </w:t>
      </w:r>
      <w:r w:rsidR="00CB1336">
        <w:rPr>
          <w:b/>
          <w:bCs/>
        </w:rPr>
        <w:t>Approval of Bridge Deck Polymer Overlay System</w:t>
      </w:r>
    </w:p>
    <w:p w14:paraId="6EE5F0BC" w14:textId="14C053F7" w:rsidR="00CB1336" w:rsidRDefault="00CB1336" w:rsidP="003C4654">
      <w:pPr>
        <w:jc w:val="both"/>
        <w:rPr>
          <w:spacing w:val="-2"/>
        </w:rPr>
      </w:pPr>
      <w:r w:rsidRPr="00E0734D">
        <w:rPr>
          <w:spacing w:val="-2"/>
        </w:rPr>
        <w:t xml:space="preserve">A minimum of </w:t>
      </w:r>
      <w:r w:rsidR="005F59D4">
        <w:rPr>
          <w:spacing w:val="-2"/>
        </w:rPr>
        <w:t>15</w:t>
      </w:r>
      <w:r w:rsidRPr="00E0734D">
        <w:rPr>
          <w:spacing w:val="-2"/>
        </w:rPr>
        <w:t xml:space="preserve"> working days prior to </w:t>
      </w:r>
      <w:r w:rsidR="005F59D4">
        <w:rPr>
          <w:spacing w:val="-2"/>
        </w:rPr>
        <w:t>the pre-construction meeting</w:t>
      </w:r>
      <w:r w:rsidRPr="00E0734D">
        <w:rPr>
          <w:spacing w:val="-2"/>
        </w:rPr>
        <w:t>,</w:t>
      </w:r>
      <w:r w:rsidRPr="00E0734D">
        <w:t xml:space="preserve"> submit </w:t>
      </w:r>
      <w:r w:rsidR="004937D6" w:rsidRPr="00E0734D">
        <w:t xml:space="preserve">to the engineer for </w:t>
      </w:r>
      <w:r w:rsidR="0021142A">
        <w:t>acceptance</w:t>
      </w:r>
      <w:r w:rsidR="0021142A" w:rsidRPr="00E0734D">
        <w:t xml:space="preserve"> </w:t>
      </w:r>
      <w:r w:rsidR="004937D6">
        <w:t xml:space="preserve">the </w:t>
      </w:r>
      <w:r w:rsidRPr="00E0734D">
        <w:t xml:space="preserve">product data sheets and specifications from the manufacturer, </w:t>
      </w:r>
      <w:r w:rsidR="000336E1">
        <w:rPr>
          <w:spacing w:val="-2"/>
        </w:rPr>
        <w:t xml:space="preserve">product history/reference projects </w:t>
      </w:r>
      <w:r w:rsidR="00DB46C3">
        <w:rPr>
          <w:spacing w:val="-2"/>
        </w:rPr>
        <w:t>report</w:t>
      </w:r>
      <w:r w:rsidR="000336E1">
        <w:rPr>
          <w:spacing w:val="-2"/>
        </w:rPr>
        <w:t xml:space="preserve">, </w:t>
      </w:r>
      <w:r w:rsidR="00172D0B">
        <w:rPr>
          <w:spacing w:val="-2"/>
        </w:rPr>
        <w:t xml:space="preserve">an </w:t>
      </w:r>
      <w:r w:rsidR="000336E1">
        <w:rPr>
          <w:spacing w:val="-2"/>
        </w:rPr>
        <w:t xml:space="preserve">overlay placement plan, </w:t>
      </w:r>
      <w:r w:rsidRPr="00E0734D">
        <w:t xml:space="preserve">and a certified </w:t>
      </w:r>
      <w:r w:rsidR="00172D0B">
        <w:t xml:space="preserve">materials report </w:t>
      </w:r>
      <w:r w:rsidR="00DB46C3">
        <w:rPr>
          <w:spacing w:val="-2"/>
        </w:rPr>
        <w:t>from an independent testing laboratory</w:t>
      </w:r>
      <w:r w:rsidRPr="00E0734D">
        <w:t>.</w:t>
      </w:r>
      <w:r w:rsidR="00BB642D">
        <w:t xml:space="preserve"> </w:t>
      </w:r>
      <w:r w:rsidRPr="00E0734D">
        <w:t xml:space="preserve"> </w:t>
      </w:r>
      <w:r w:rsidRPr="00E0734D">
        <w:rPr>
          <w:spacing w:val="-2"/>
        </w:rPr>
        <w:t xml:space="preserve">The engineer may request samples of the </w:t>
      </w:r>
      <w:r w:rsidR="00123312">
        <w:rPr>
          <w:spacing w:val="-2"/>
        </w:rPr>
        <w:t>primer, resin,</w:t>
      </w:r>
      <w:r w:rsidRPr="00E0734D">
        <w:rPr>
          <w:spacing w:val="-2"/>
        </w:rPr>
        <w:t xml:space="preserve"> and/or </w:t>
      </w:r>
      <w:r w:rsidR="00123312">
        <w:rPr>
          <w:spacing w:val="-2"/>
        </w:rPr>
        <w:t>aggregate prior to application</w:t>
      </w:r>
      <w:r w:rsidRPr="00E0734D">
        <w:rPr>
          <w:spacing w:val="-2"/>
        </w:rPr>
        <w:t xml:space="preserve"> for the purpose of acceptance testing by the department.</w:t>
      </w:r>
    </w:p>
    <w:p w14:paraId="065149B2" w14:textId="77777777" w:rsidR="00CB1336" w:rsidRDefault="00CB1336" w:rsidP="003C4654">
      <w:pPr>
        <w:jc w:val="both"/>
        <w:rPr>
          <w:spacing w:val="-2"/>
        </w:rPr>
      </w:pPr>
    </w:p>
    <w:p w14:paraId="7784ECA1" w14:textId="0983E2B2" w:rsidR="00CB1336" w:rsidRPr="00E0734D" w:rsidRDefault="00CB1336" w:rsidP="003C4654">
      <w:pPr>
        <w:jc w:val="both"/>
      </w:pPr>
      <w:r>
        <w:rPr>
          <w:spacing w:val="-2"/>
        </w:rPr>
        <w:t xml:space="preserve">The product history/reference projects </w:t>
      </w:r>
      <w:r w:rsidR="00DB46C3">
        <w:rPr>
          <w:spacing w:val="-2"/>
        </w:rPr>
        <w:t xml:space="preserve">report shall </w:t>
      </w:r>
      <w:r>
        <w:rPr>
          <w:spacing w:val="-2"/>
        </w:rPr>
        <w:t>consist of a minimum of 5 bridge/roadway locations where the proposed overlay system has been applied in Wisconsin or in locations with similar climate</w:t>
      </w:r>
      <w:r w:rsidR="00367DF0">
        <w:rPr>
          <w:spacing w:val="-2"/>
        </w:rPr>
        <w:t>, and on bridges of similar size and scope to the contract project</w:t>
      </w:r>
      <w:r w:rsidR="00DB46C3">
        <w:rPr>
          <w:spacing w:val="-2"/>
        </w:rPr>
        <w:t>.  I</w:t>
      </w:r>
      <w:r>
        <w:rPr>
          <w:spacing w:val="-2"/>
        </w:rPr>
        <w:t>nclude contact names for the facility owner, current phone number</w:t>
      </w:r>
      <w:r w:rsidR="00DB46C3">
        <w:rPr>
          <w:spacing w:val="-2"/>
        </w:rPr>
        <w:t xml:space="preserve"> and</w:t>
      </w:r>
      <w:r>
        <w:rPr>
          <w:spacing w:val="-2"/>
        </w:rPr>
        <w:t xml:space="preserve"> e-mail address, and a brief project description</w:t>
      </w:r>
      <w:r w:rsidR="00367DF0">
        <w:rPr>
          <w:spacing w:val="-2"/>
        </w:rPr>
        <w:t xml:space="preserve"> including structure ID’s and overlay quantities placed</w:t>
      </w:r>
      <w:r>
        <w:rPr>
          <w:spacing w:val="-2"/>
        </w:rPr>
        <w:t>.</w:t>
      </w:r>
      <w:r w:rsidR="00123312">
        <w:rPr>
          <w:spacing w:val="-2"/>
        </w:rPr>
        <w:t xml:space="preserve">  These projects must have been open to traffic for at least 1 year.</w:t>
      </w:r>
    </w:p>
    <w:p w14:paraId="4176DAD1" w14:textId="77777777" w:rsidR="00CB1336" w:rsidRPr="00E0734D" w:rsidRDefault="00CB1336" w:rsidP="003C4654">
      <w:pPr>
        <w:jc w:val="both"/>
      </w:pPr>
    </w:p>
    <w:p w14:paraId="07B5675C" w14:textId="77777777" w:rsidR="00CB1336" w:rsidRDefault="00CB1336" w:rsidP="003C4654">
      <w:pPr>
        <w:jc w:val="both"/>
      </w:pPr>
      <w:r w:rsidRPr="00E0734D">
        <w:t>Product data sheets and specifications from the manufacture</w:t>
      </w:r>
      <w:r w:rsidR="0031698C">
        <w:t>r</w:t>
      </w:r>
      <w:r w:rsidRPr="00E0734D">
        <w:t xml:space="preserve"> consist of literature from the manufacturer showing general instructions, application recommendations/methods, product prop</w:t>
      </w:r>
      <w:r w:rsidR="00DB46C3">
        <w:t>erties, and</w:t>
      </w:r>
      <w:r w:rsidRPr="00E0734D">
        <w:t xml:space="preserve"> any other applicable information.</w:t>
      </w:r>
    </w:p>
    <w:p w14:paraId="554AE952" w14:textId="77777777" w:rsidR="000F7383" w:rsidRPr="00E0734D" w:rsidRDefault="000F7383" w:rsidP="003C4654">
      <w:pPr>
        <w:jc w:val="both"/>
      </w:pPr>
    </w:p>
    <w:p w14:paraId="35E5D1C5" w14:textId="77777777" w:rsidR="004E4D5B" w:rsidRDefault="008467A3" w:rsidP="003C4654">
      <w:pPr>
        <w:keepNext/>
        <w:keepLines/>
        <w:jc w:val="both"/>
        <w:rPr>
          <w:b/>
          <w:bCs/>
        </w:rPr>
      </w:pPr>
      <w:r>
        <w:rPr>
          <w:b/>
          <w:bCs/>
        </w:rPr>
        <w:lastRenderedPageBreak/>
        <w:t xml:space="preserve">C  </w:t>
      </w:r>
      <w:r w:rsidR="004E4D5B" w:rsidRPr="0061036E">
        <w:rPr>
          <w:b/>
          <w:bCs/>
        </w:rPr>
        <w:t>Construction</w:t>
      </w:r>
    </w:p>
    <w:p w14:paraId="4CAD4A62" w14:textId="77777777" w:rsidR="004E4D5B" w:rsidRDefault="008467A3" w:rsidP="003C4654">
      <w:pPr>
        <w:keepNext/>
        <w:keepLines/>
        <w:jc w:val="both"/>
        <w:rPr>
          <w:b/>
          <w:bCs/>
        </w:rPr>
      </w:pPr>
      <w:r>
        <w:rPr>
          <w:b/>
          <w:bCs/>
        </w:rPr>
        <w:t xml:space="preserve">C.1  </w:t>
      </w:r>
      <w:r w:rsidR="004E4D5B" w:rsidRPr="00E0734D">
        <w:rPr>
          <w:b/>
          <w:bCs/>
        </w:rPr>
        <w:t>General</w:t>
      </w:r>
    </w:p>
    <w:p w14:paraId="2F0B66F2" w14:textId="77777777" w:rsidR="0072254C" w:rsidRPr="000336E1" w:rsidRDefault="000336E1" w:rsidP="003C4654">
      <w:pPr>
        <w:keepNext/>
        <w:keepLines/>
        <w:jc w:val="both"/>
        <w:rPr>
          <w:b/>
          <w:bCs/>
        </w:rPr>
      </w:pPr>
      <w:r w:rsidRPr="000336E1">
        <w:rPr>
          <w:b/>
          <w:bCs/>
        </w:rPr>
        <w:t>C</w:t>
      </w:r>
      <w:r>
        <w:rPr>
          <w:b/>
          <w:bCs/>
        </w:rPr>
        <w:t>.</w:t>
      </w:r>
      <w:r w:rsidR="008467A3">
        <w:rPr>
          <w:b/>
          <w:bCs/>
        </w:rPr>
        <w:t xml:space="preserve">1.1  </w:t>
      </w:r>
      <w:r w:rsidRPr="000336E1">
        <w:rPr>
          <w:b/>
          <w:bCs/>
        </w:rPr>
        <w:t>Pre-Installation Conference</w:t>
      </w:r>
    </w:p>
    <w:p w14:paraId="6379277B" w14:textId="3161E434" w:rsidR="006A2DFF" w:rsidRDefault="004E4D5B" w:rsidP="003C4654">
      <w:pPr>
        <w:jc w:val="both"/>
      </w:pPr>
      <w:r w:rsidRPr="00E0734D">
        <w:t xml:space="preserve">Conduct a pre-installation conference with the manufacturer's representative prior to construction to establish procedures for maintaining optimum working conditions and coordination of work. </w:t>
      </w:r>
      <w:r w:rsidR="00BB642D">
        <w:t xml:space="preserve"> </w:t>
      </w:r>
      <w:r w:rsidRPr="00E0734D">
        <w:t>Furnish the engineer</w:t>
      </w:r>
      <w:r w:rsidR="00123312">
        <w:t xml:space="preserve"> with</w:t>
      </w:r>
      <w:r w:rsidRPr="00E0734D">
        <w:t xml:space="preserve"> a copy of the recommended procedures</w:t>
      </w:r>
      <w:r w:rsidR="006A2DFF">
        <w:t>,</w:t>
      </w:r>
      <w:r w:rsidRPr="00E0734D">
        <w:t xml:space="preserve"> the manufacturer’s instructions</w:t>
      </w:r>
      <w:r w:rsidR="006A2DFF">
        <w:t xml:space="preserve">, </w:t>
      </w:r>
      <w:r w:rsidR="00FC7A54">
        <w:t xml:space="preserve">contractor’s personnel experience record, </w:t>
      </w:r>
      <w:r w:rsidR="006A2DFF">
        <w:t xml:space="preserve">and the </w:t>
      </w:r>
      <w:r w:rsidR="00243E5C">
        <w:t>PPC</w:t>
      </w:r>
      <w:r w:rsidR="006A2DFF">
        <w:t xml:space="preserve"> mix design including the recommended initiator percentages for the expected application temperature</w:t>
      </w:r>
      <w:r w:rsidRPr="00E0734D">
        <w:t xml:space="preserve">. </w:t>
      </w:r>
    </w:p>
    <w:p w14:paraId="39EC8428" w14:textId="77777777" w:rsidR="006A2DFF" w:rsidRDefault="006A2DFF" w:rsidP="003C4654">
      <w:pPr>
        <w:jc w:val="both"/>
      </w:pPr>
    </w:p>
    <w:p w14:paraId="3F97522F" w14:textId="77777777" w:rsidR="00D03222" w:rsidRPr="00D03222" w:rsidRDefault="00D03222" w:rsidP="007C0B67">
      <w:pPr>
        <w:rPr>
          <w:b/>
        </w:rPr>
      </w:pPr>
      <w:r w:rsidRPr="00D03222">
        <w:rPr>
          <w:b/>
        </w:rPr>
        <w:t>C.1.2 Contractor Personnel Requirements</w:t>
      </w:r>
    </w:p>
    <w:p w14:paraId="4FACB639" w14:textId="1743A2EB" w:rsidR="00367DF0" w:rsidRDefault="00367DF0" w:rsidP="007C0B67">
      <w:pPr>
        <w:jc w:val="both"/>
      </w:pPr>
      <w:r>
        <w:t xml:space="preserve">A minimum of 15 days prior to the pre-construction meeting, submit to the engineer for approval the contractor’s personnel experience and qualifications successfully placing concrete bridge deck overlays or PPC </w:t>
      </w:r>
      <w:r w:rsidR="00E54765">
        <w:t>overlays using similar equipment as specified within this special provision within the last 5 years.  Placement of thin polymer overlays does not qualify.  Include contact names for the facility owner, current phone number and e-mail address, and a brief project description including structure ID’s and overlay quantities placed.</w:t>
      </w:r>
      <w:r w:rsidR="00715498">
        <w:t xml:space="preserve">  The engineer shall contact the Bureau of Structures Chief Structures Design Engineer to verify experience and qualifications.</w:t>
      </w:r>
    </w:p>
    <w:p w14:paraId="7AC07AA1" w14:textId="77777777" w:rsidR="00367DF0" w:rsidRDefault="00367DF0" w:rsidP="007C0B67">
      <w:pPr>
        <w:jc w:val="both"/>
      </w:pPr>
    </w:p>
    <w:p w14:paraId="2B38BC8D" w14:textId="2FD78971" w:rsidR="00D03222" w:rsidRPr="00D03222" w:rsidRDefault="00D03222" w:rsidP="007C0B67">
      <w:pPr>
        <w:jc w:val="both"/>
      </w:pPr>
      <w:r w:rsidRPr="00D03222">
        <w:t>Experienced personnel are required to be actively present during the overlay application according to the following:</w:t>
      </w:r>
    </w:p>
    <w:p w14:paraId="3AA64125" w14:textId="77777777" w:rsidR="00D03222" w:rsidRPr="00D03222" w:rsidRDefault="00D03222" w:rsidP="007C0B67">
      <w:pPr>
        <w:jc w:val="both"/>
      </w:pPr>
    </w:p>
    <w:p w14:paraId="20060748" w14:textId="708ED9AD" w:rsidR="007B59E7" w:rsidRDefault="007B59E7" w:rsidP="007C0B67">
      <w:pPr>
        <w:jc w:val="both"/>
      </w:pPr>
      <w:r>
        <w:t xml:space="preserve">Experience and qualifications of </w:t>
      </w:r>
      <w:r w:rsidR="00243E5C">
        <w:t xml:space="preserve">manufacturer’s representative: </w:t>
      </w:r>
      <w:r w:rsidR="005E1738">
        <w:t>Must be employee of the current company for at least one year in good standing with experience performing a minimum of 10 PPC overlays on bridges of similar size and scope to the contract project in the last 5 years.  Scope shall be evaluated by placement temperature, existing deck condition, placement thickness, number of stages, average daily traffic, and any other factors unique to the application.  Acceptable project experience must be in current service showing no signs of installation deficiency, major distress, excessive wear, or delamination.</w:t>
      </w:r>
      <w:r w:rsidR="00902EE7">
        <w:t xml:space="preserve">  </w:t>
      </w:r>
      <w:r w:rsidR="00902EE7">
        <w:t xml:space="preserve">A </w:t>
      </w:r>
      <w:r w:rsidR="00902EE7" w:rsidRPr="00E0734D">
        <w:t>manufacturer's representative familiar with the overlay system installation procedures shall be present at all times during surface preparation and overlay placement to provide quality assurance that the work is being performed properly.</w:t>
      </w:r>
      <w:r w:rsidR="00902EE7">
        <w:t xml:space="preserve">  This includes, but is not limited to, pre-installation conference, deck preparation, trial overlay, PPC application, and PPC cure.</w:t>
      </w:r>
    </w:p>
    <w:p w14:paraId="4097DB39" w14:textId="77777777" w:rsidR="007B59E7" w:rsidRDefault="007B59E7" w:rsidP="007C0B67">
      <w:pPr>
        <w:jc w:val="both"/>
      </w:pPr>
    </w:p>
    <w:p w14:paraId="171DECB4" w14:textId="2C39DBEB" w:rsidR="00D03222" w:rsidRPr="00D03222" w:rsidRDefault="00D03222" w:rsidP="007C0B67">
      <w:pPr>
        <w:jc w:val="both"/>
      </w:pPr>
      <w:r w:rsidRPr="00D03222">
        <w:t>Experience and qualifications of crew foreman</w:t>
      </w:r>
      <w:r w:rsidR="00243E5C">
        <w:t xml:space="preserve"> or lead finisher</w:t>
      </w:r>
      <w:r w:rsidRPr="00D03222">
        <w:t xml:space="preserve">: Must be employee of the current company for at least one year in good standing with experience performing a minimum </w:t>
      </w:r>
      <w:r w:rsidR="00243E5C">
        <w:t xml:space="preserve">of </w:t>
      </w:r>
      <w:r w:rsidRPr="00D03222">
        <w:t xml:space="preserve">2 </w:t>
      </w:r>
      <w:r w:rsidR="00243E5C">
        <w:t xml:space="preserve">PPC overlays </w:t>
      </w:r>
      <w:r w:rsidRPr="00D03222">
        <w:t>to highway bridge decks</w:t>
      </w:r>
      <w:r w:rsidR="00F658D1">
        <w:t xml:space="preserve"> in the last 5 years</w:t>
      </w:r>
      <w:r w:rsidRPr="00D03222">
        <w:t>.</w:t>
      </w:r>
      <w:r w:rsidR="00243E5C">
        <w:t xml:space="preserve">  Multiple stages of PPC overlay </w:t>
      </w:r>
      <w:r w:rsidR="00BB325F">
        <w:t>on one bridge deck will be accepted as one single application.</w:t>
      </w:r>
    </w:p>
    <w:p w14:paraId="720E7B12" w14:textId="77777777" w:rsidR="00D03222" w:rsidRPr="00D03222" w:rsidRDefault="00D03222" w:rsidP="007C0B67">
      <w:pPr>
        <w:jc w:val="both"/>
      </w:pPr>
    </w:p>
    <w:p w14:paraId="62FDB8E0" w14:textId="4DD4F267" w:rsidR="00D03222" w:rsidRDefault="00D03222">
      <w:pPr>
        <w:jc w:val="both"/>
      </w:pPr>
      <w:r w:rsidRPr="00D03222">
        <w:t xml:space="preserve">Experience and qualifications of crew/laborers: </w:t>
      </w:r>
      <w:r w:rsidR="00243E5C">
        <w:t>All</w:t>
      </w:r>
      <w:r w:rsidRPr="00D03222">
        <w:t xml:space="preserve"> crew members </w:t>
      </w:r>
      <w:r w:rsidR="00901F40">
        <w:t xml:space="preserve">involved with the placement or finishing of the PPC overlay </w:t>
      </w:r>
      <w:r w:rsidRPr="00D03222">
        <w:t xml:space="preserve">must be an employee of the current company for at least one year in good standing In addition, laborers finishing the </w:t>
      </w:r>
      <w:r w:rsidR="00243E5C">
        <w:t xml:space="preserve">PPC </w:t>
      </w:r>
      <w:r w:rsidRPr="00D03222">
        <w:t>material in place must have at least 2 years of experience finishing concrete.</w:t>
      </w:r>
      <w:r w:rsidR="00500DE5">
        <w:t xml:space="preserve">  All crew/laborers must part</w:t>
      </w:r>
      <w:r w:rsidR="00BB325F">
        <w:t>icipate and fulfill the same role for both</w:t>
      </w:r>
      <w:r w:rsidR="00500DE5">
        <w:t xml:space="preserve"> the trial </w:t>
      </w:r>
      <w:r w:rsidR="00BB325F">
        <w:t xml:space="preserve">and final PPC </w:t>
      </w:r>
      <w:r w:rsidR="00500DE5">
        <w:t>overlay</w:t>
      </w:r>
      <w:r w:rsidR="00BB325F">
        <w:t>s</w:t>
      </w:r>
      <w:r w:rsidR="00500DE5">
        <w:t>.</w:t>
      </w:r>
    </w:p>
    <w:p w14:paraId="34064271" w14:textId="77777777" w:rsidR="00D03222" w:rsidRDefault="00D03222">
      <w:pPr>
        <w:jc w:val="both"/>
      </w:pPr>
    </w:p>
    <w:p w14:paraId="2ABEB07F" w14:textId="3AAA5832" w:rsidR="00D03222" w:rsidRPr="007C0B67" w:rsidRDefault="00D03222">
      <w:pPr>
        <w:jc w:val="both"/>
      </w:pPr>
      <w:r w:rsidRPr="00D03222">
        <w:lastRenderedPageBreak/>
        <w:t>The engineer will accept or reject the contractor’s personnel experience record. If the contractor does not provide personnel with the required experience and qualifications, the contractor will not be authorized to proceed with any work until replacement personnel are reviewed and accepted by the engineer. The engineer may suspend work if the contractor substitutes unqualified personnel for accepted personnel during construction.</w:t>
      </w:r>
    </w:p>
    <w:p w14:paraId="410603F9" w14:textId="6AF7E4FE" w:rsidR="00D03222" w:rsidRDefault="00D03222" w:rsidP="007C0B67">
      <w:pPr>
        <w:ind w:left="0"/>
        <w:jc w:val="both"/>
        <w:rPr>
          <w:b/>
        </w:rPr>
      </w:pPr>
    </w:p>
    <w:p w14:paraId="0DABBA3C" w14:textId="61D6DA7E" w:rsidR="000336E1" w:rsidRPr="000336E1" w:rsidRDefault="008467A3" w:rsidP="003C4654">
      <w:pPr>
        <w:jc w:val="both"/>
        <w:rPr>
          <w:b/>
        </w:rPr>
      </w:pPr>
      <w:r>
        <w:rPr>
          <w:b/>
        </w:rPr>
        <w:t>C.1.</w:t>
      </w:r>
      <w:r w:rsidR="00D03222">
        <w:rPr>
          <w:b/>
        </w:rPr>
        <w:t xml:space="preserve">3  </w:t>
      </w:r>
      <w:r w:rsidR="000336E1">
        <w:rPr>
          <w:b/>
        </w:rPr>
        <w:t>Material Storage</w:t>
      </w:r>
      <w:r w:rsidR="00850C06">
        <w:rPr>
          <w:b/>
        </w:rPr>
        <w:t xml:space="preserve"> and Safety Plan</w:t>
      </w:r>
    </w:p>
    <w:p w14:paraId="10144D04" w14:textId="77777777" w:rsidR="004E4D5B" w:rsidRDefault="004E4D5B" w:rsidP="003C4654">
      <w:pPr>
        <w:jc w:val="both"/>
      </w:pPr>
      <w:r w:rsidRPr="00E0734D">
        <w:t>Store resin materials in their original containers in a dry area.</w:t>
      </w:r>
      <w:r w:rsidR="00BB642D">
        <w:t xml:space="preserve"> </w:t>
      </w:r>
      <w:r w:rsidRPr="00E0734D">
        <w:t xml:space="preserve"> Store and handle materials according to the manufacturer’s recommendations.</w:t>
      </w:r>
      <w:r w:rsidR="00BB642D">
        <w:t xml:space="preserve"> </w:t>
      </w:r>
      <w:r w:rsidRPr="00E0734D">
        <w:t xml:space="preserve"> Store all aggregates in a dry environment and protect aggregates from contaminants on the job site.</w:t>
      </w:r>
    </w:p>
    <w:p w14:paraId="75DB5549" w14:textId="77777777" w:rsidR="00123312" w:rsidRDefault="00123312" w:rsidP="003C4654">
      <w:pPr>
        <w:jc w:val="both"/>
      </w:pPr>
    </w:p>
    <w:p w14:paraId="7A63D29E" w14:textId="77777777" w:rsidR="00123312" w:rsidRDefault="00850C06" w:rsidP="003C4654">
      <w:pPr>
        <w:jc w:val="both"/>
      </w:pPr>
      <w:r w:rsidRPr="008467A3">
        <w:t>Safety Plan:</w:t>
      </w:r>
      <w:r>
        <w:t xml:space="preserve"> </w:t>
      </w:r>
      <w:r w:rsidR="00123312">
        <w:t xml:space="preserve">Prior to arrival of the product on the job site, provide a product shipping, storage, and use safety plan to detail how the product will be delivered and stored on site in a manner that will not allow the constituent components to come in contact with each other in the event of a spill or container leakage.  This plan must also include a description of the safety training workers applying the product have received regarding the product’s use, and list any and all safety precautions which must be taken during application of the product.  </w:t>
      </w:r>
    </w:p>
    <w:p w14:paraId="6293F666" w14:textId="77777777" w:rsidR="00123312" w:rsidRPr="00E0734D" w:rsidRDefault="00123312" w:rsidP="003C4654">
      <w:pPr>
        <w:jc w:val="both"/>
      </w:pPr>
    </w:p>
    <w:p w14:paraId="6160A2C2" w14:textId="0A88EFA4" w:rsidR="00850C06" w:rsidRPr="000336E1" w:rsidRDefault="008467A3" w:rsidP="003C4654">
      <w:pPr>
        <w:jc w:val="both"/>
        <w:rPr>
          <w:b/>
        </w:rPr>
      </w:pPr>
      <w:r>
        <w:rPr>
          <w:b/>
        </w:rPr>
        <w:t>C.1.</w:t>
      </w:r>
      <w:r w:rsidR="00D03222">
        <w:rPr>
          <w:b/>
        </w:rPr>
        <w:t xml:space="preserve">4  </w:t>
      </w:r>
      <w:r w:rsidR="00850C06" w:rsidRPr="000336E1">
        <w:rPr>
          <w:b/>
        </w:rPr>
        <w:t>Trial Overlay</w:t>
      </w:r>
    </w:p>
    <w:p w14:paraId="61F0C841" w14:textId="7D644157" w:rsidR="007C13D7" w:rsidRDefault="006A2DFF">
      <w:pPr>
        <w:jc w:val="both"/>
      </w:pPr>
      <w:r>
        <w:t xml:space="preserve">Place </w:t>
      </w:r>
      <w:r w:rsidR="006224F3">
        <w:t>trial overlay</w:t>
      </w:r>
      <w:r w:rsidR="00850C06">
        <w:t>(</w:t>
      </w:r>
      <w:r w:rsidR="006224F3">
        <w:t>s</w:t>
      </w:r>
      <w:r w:rsidR="00850C06">
        <w:t>)</w:t>
      </w:r>
      <w:r w:rsidR="006224F3">
        <w:t xml:space="preserve"> on a </w:t>
      </w:r>
      <w:r w:rsidR="00850C06">
        <w:t>properly prepared</w:t>
      </w:r>
      <w:r w:rsidR="006224F3">
        <w:t xml:space="preserve"> </w:t>
      </w:r>
      <w:r w:rsidR="00FA1ADE">
        <w:t xml:space="preserve">concrete </w:t>
      </w:r>
      <w:r w:rsidR="004263C9">
        <w:t xml:space="preserve">surface </w:t>
      </w:r>
      <w:r w:rsidR="00241AC1">
        <w:t xml:space="preserve">within the project limits </w:t>
      </w:r>
      <w:r w:rsidR="006224F3">
        <w:t xml:space="preserve">to determine the initial set time and to demonstrate the effectiveness of the </w:t>
      </w:r>
      <w:r w:rsidR="001B1180">
        <w:t xml:space="preserve">surface preparation, </w:t>
      </w:r>
      <w:r w:rsidR="006224F3">
        <w:t>mixing, placing, and finishing equipment</w:t>
      </w:r>
      <w:r w:rsidR="001B1180">
        <w:t xml:space="preserve"> and techniques</w:t>
      </w:r>
      <w:r w:rsidR="006224F3">
        <w:t xml:space="preserve">.  Each </w:t>
      </w:r>
      <w:r w:rsidR="00850C06">
        <w:t xml:space="preserve">trial </w:t>
      </w:r>
      <w:r w:rsidR="006224F3">
        <w:t xml:space="preserve">overlay shall be the width and thickness of the proposed placement on the bridge and at least </w:t>
      </w:r>
      <w:r w:rsidR="004742B2">
        <w:t>25</w:t>
      </w:r>
      <w:r w:rsidR="006224F3">
        <w:t xml:space="preserve"> ft long.  The trial overlay</w:t>
      </w:r>
      <w:r w:rsidR="00850C06">
        <w:t>(s)</w:t>
      </w:r>
      <w:r w:rsidR="006224F3">
        <w:t xml:space="preserve"> shall be tined in the same manner as the deck overlay.  Construct trial overlay(s) in similar weather conditions as those expected during the construction of the deck overlay and at a similar time of day unless directed otherwise by the engineer.</w:t>
      </w:r>
      <w:r w:rsidR="00BB642D">
        <w:t xml:space="preserve"> </w:t>
      </w:r>
      <w:r w:rsidR="006224F3">
        <w:t xml:space="preserve"> Use the same equipment</w:t>
      </w:r>
      <w:r w:rsidR="00241AC1">
        <w:t xml:space="preserve"> and laborers/operators</w:t>
      </w:r>
      <w:r w:rsidR="006224F3">
        <w:t xml:space="preserve">, including deck preparation equipment, as </w:t>
      </w:r>
      <w:r w:rsidR="00057EE8">
        <w:t xml:space="preserve">that which </w:t>
      </w:r>
      <w:r w:rsidR="006224F3">
        <w:t xml:space="preserve">will be used for the deck overlay.  </w:t>
      </w:r>
    </w:p>
    <w:p w14:paraId="2F15EF71" w14:textId="77777777" w:rsidR="007C13D7" w:rsidRDefault="007C13D7">
      <w:pPr>
        <w:jc w:val="both"/>
      </w:pPr>
    </w:p>
    <w:p w14:paraId="3415267A" w14:textId="6D774B49" w:rsidR="006224F3" w:rsidRDefault="006224F3">
      <w:pPr>
        <w:jc w:val="both"/>
      </w:pPr>
      <w:r>
        <w:t xml:space="preserve">The number </w:t>
      </w:r>
      <w:r w:rsidR="00342C96">
        <w:t xml:space="preserve">of trial applications required shall be as many as necessary to demonstrate the </w:t>
      </w:r>
      <w:r w:rsidR="00DB46C3">
        <w:t xml:space="preserve">contractor’s </w:t>
      </w:r>
      <w:r w:rsidR="00342C96">
        <w:t xml:space="preserve">ability to construct an acceptable overlay and competency to perform the work to the satisfaction of the engineer. </w:t>
      </w:r>
      <w:r w:rsidR="00172D0B">
        <w:t xml:space="preserve">If, after two trial applications, the engineer is not satisfied with the trial placements, </w:t>
      </w:r>
      <w:r w:rsidR="00426230">
        <w:t xml:space="preserve">hold </w:t>
      </w:r>
      <w:r w:rsidR="00172D0B">
        <w:t>another pre-</w:t>
      </w:r>
      <w:r w:rsidR="00057EE8">
        <w:t>installation conference, as described in Section C1.1</w:t>
      </w:r>
      <w:r w:rsidR="00172D0B">
        <w:t xml:space="preserve">.  </w:t>
      </w:r>
      <w:bookmarkStart w:id="1" w:name="_Hlk5009680"/>
      <w:r w:rsidR="00342C96">
        <w:t>Do not proceed with deck overlay work prior to receiving the engineer’s approval of the trial overlay(s).</w:t>
      </w:r>
      <w:bookmarkEnd w:id="1"/>
      <w:r w:rsidR="00AA2604">
        <w:t xml:space="preserve"> </w:t>
      </w:r>
      <w:r w:rsidR="00AA2604" w:rsidRPr="00AA2604">
        <w:t>Conduct all</w:t>
      </w:r>
      <w:r w:rsidR="00E3217B">
        <w:t xml:space="preserve"> </w:t>
      </w:r>
      <w:r w:rsidR="00CD7644">
        <w:t>trial</w:t>
      </w:r>
      <w:r w:rsidR="00E3217B">
        <w:t xml:space="preserve"> overlays</w:t>
      </w:r>
      <w:r w:rsidR="00AA2604" w:rsidRPr="00AA2604">
        <w:t xml:space="preserve"> in the presence of the engineer. </w:t>
      </w:r>
      <w:r w:rsidR="007E07E8">
        <w:t xml:space="preserve">If the trial overlay is placed on the deck surface and found acceptable by the </w:t>
      </w:r>
      <w:r w:rsidR="00AA2604" w:rsidRPr="00AA2604">
        <w:t>engineer, the contractor may leave trial overlay in place</w:t>
      </w:r>
      <w:r w:rsidR="007E07E8">
        <w:t>. If the trial overlay is placed on the deck surface and found not acceptable, the material must be removed and replaced at no additional cost.</w:t>
      </w:r>
    </w:p>
    <w:p w14:paraId="2A71D902" w14:textId="77777777" w:rsidR="000336E1" w:rsidRDefault="000336E1" w:rsidP="003C4654">
      <w:pPr>
        <w:jc w:val="both"/>
      </w:pPr>
    </w:p>
    <w:p w14:paraId="6C9EEE87" w14:textId="143E020F" w:rsidR="004E4D5B" w:rsidRDefault="00930D7B" w:rsidP="003C4654">
      <w:pPr>
        <w:keepNext/>
        <w:jc w:val="both"/>
        <w:rPr>
          <w:b/>
        </w:rPr>
      </w:pPr>
      <w:r>
        <w:rPr>
          <w:b/>
        </w:rPr>
        <w:t>C.2</w:t>
      </w:r>
      <w:r w:rsidR="008467A3">
        <w:rPr>
          <w:b/>
        </w:rPr>
        <w:t xml:space="preserve">  </w:t>
      </w:r>
      <w:r>
        <w:rPr>
          <w:b/>
        </w:rPr>
        <w:t xml:space="preserve">Deck </w:t>
      </w:r>
      <w:r w:rsidR="004E4D5B" w:rsidRPr="008C79C2">
        <w:rPr>
          <w:b/>
        </w:rPr>
        <w:t>Preparation</w:t>
      </w:r>
    </w:p>
    <w:p w14:paraId="48D0BD24" w14:textId="461F4CB3" w:rsidR="00ED78F0" w:rsidRDefault="00ED78F0" w:rsidP="003C4654">
      <w:pPr>
        <w:jc w:val="both"/>
      </w:pPr>
      <w:r>
        <w:rPr>
          <w:b/>
        </w:rPr>
        <w:t>C.2.1  Deck Repair</w:t>
      </w:r>
    </w:p>
    <w:p w14:paraId="24EEE9B9" w14:textId="51F5EECB" w:rsidR="00753C17" w:rsidRDefault="00D31C47">
      <w:pPr>
        <w:jc w:val="both"/>
        <w:rPr>
          <w:bCs/>
        </w:rPr>
      </w:pPr>
      <w:bookmarkStart w:id="2" w:name="_Hlk5351218"/>
      <w:r w:rsidRPr="00D31C47">
        <w:t xml:space="preserve">When specified on the plans, </w:t>
      </w:r>
      <w:r w:rsidR="00EE6185">
        <w:rPr>
          <w:bCs/>
        </w:rPr>
        <w:t>remove</w:t>
      </w:r>
      <w:r w:rsidR="007059D6" w:rsidRPr="00337C53">
        <w:rPr>
          <w:bCs/>
        </w:rPr>
        <w:t xml:space="preserve"> the entire surf</w:t>
      </w:r>
      <w:r w:rsidR="007059D6">
        <w:rPr>
          <w:bCs/>
        </w:rPr>
        <w:t>ace of the bridge deck</w:t>
      </w:r>
      <w:r w:rsidR="007059D6" w:rsidRPr="00337C53">
        <w:rPr>
          <w:bCs/>
        </w:rPr>
        <w:t xml:space="preserve"> receiving the new </w:t>
      </w:r>
      <w:r w:rsidR="007059D6">
        <w:rPr>
          <w:bCs/>
        </w:rPr>
        <w:t>overlay</w:t>
      </w:r>
      <w:r w:rsidR="007059D6" w:rsidRPr="00337C53">
        <w:rPr>
          <w:bCs/>
        </w:rPr>
        <w:t xml:space="preserve">. </w:t>
      </w:r>
      <w:bookmarkEnd w:id="2"/>
      <w:r w:rsidR="006D57BF">
        <w:rPr>
          <w:bCs/>
        </w:rPr>
        <w:t xml:space="preserve">Remove all asphaltic patches and unsound or disintegrated areas of the concrete decks as the plans show, or as the engineer directs. Work performed to remove </w:t>
      </w:r>
      <w:r w:rsidR="00503A7F">
        <w:rPr>
          <w:bCs/>
        </w:rPr>
        <w:t xml:space="preserve">and </w:t>
      </w:r>
      <w:r w:rsidR="006D57BF">
        <w:rPr>
          <w:bCs/>
        </w:rPr>
        <w:t xml:space="preserve">repair the concrete deck will be paid for under other items. </w:t>
      </w:r>
    </w:p>
    <w:p w14:paraId="35E4C54B" w14:textId="77777777" w:rsidR="00753C17" w:rsidRDefault="00753C17">
      <w:pPr>
        <w:jc w:val="both"/>
        <w:rPr>
          <w:bCs/>
        </w:rPr>
      </w:pPr>
    </w:p>
    <w:p w14:paraId="4555DC86" w14:textId="54A471C0" w:rsidR="00996A16" w:rsidRDefault="00452758">
      <w:pPr>
        <w:jc w:val="both"/>
      </w:pPr>
      <w:r>
        <w:rPr>
          <w:bCs/>
        </w:rPr>
        <w:lastRenderedPageBreak/>
        <w:t>Use</w:t>
      </w:r>
      <w:r w:rsidR="006D57BF">
        <w:rPr>
          <w:bCs/>
        </w:rPr>
        <w:t xml:space="preserve"> </w:t>
      </w:r>
      <w:r>
        <w:rPr>
          <w:bCs/>
        </w:rPr>
        <w:t xml:space="preserve">deck patching </w:t>
      </w:r>
      <w:r w:rsidR="006D57BF">
        <w:rPr>
          <w:bCs/>
        </w:rPr>
        <w:t xml:space="preserve">products </w:t>
      </w:r>
      <w:r>
        <w:rPr>
          <w:bCs/>
        </w:rPr>
        <w:t>that are</w:t>
      </w:r>
      <w:r w:rsidR="006D57BF">
        <w:rPr>
          <w:bCs/>
        </w:rPr>
        <w:t xml:space="preserve"> compatible with the overlay system.</w:t>
      </w:r>
      <w:r w:rsidR="00400D6F">
        <w:t xml:space="preserve"> </w:t>
      </w:r>
      <w:r w:rsidR="00F7098D">
        <w:t>Patching materials with magnesium phosphate shall not be used.</w:t>
      </w:r>
      <w:r w:rsidR="00E84D93">
        <w:t xml:space="preserve"> </w:t>
      </w:r>
      <w:r w:rsidR="00BB7C64">
        <w:t xml:space="preserve">Place patches after surface is prepared via shot blasting and cleaning as described in Section C.2.2 of this specification. </w:t>
      </w:r>
      <w:r w:rsidR="006D57BF">
        <w:t>Portland cement</w:t>
      </w:r>
      <w:r w:rsidR="00BB7C64">
        <w:t xml:space="preserve"> concrete</w:t>
      </w:r>
      <w:r w:rsidR="006D57BF">
        <w:t xml:space="preserve"> </w:t>
      </w:r>
      <w:r w:rsidR="00BB7C64">
        <w:t>patches</w:t>
      </w:r>
      <w:r w:rsidR="006D57BF">
        <w:t xml:space="preserve"> shall be used for </w:t>
      </w:r>
      <w:r w:rsidR="0022087C">
        <w:t xml:space="preserve">joint repairs and </w:t>
      </w:r>
      <w:r w:rsidR="006D57BF">
        <w:t xml:space="preserve">full depth deck repairs with a plan area larger than 4 </w:t>
      </w:r>
      <w:r w:rsidR="0085380C">
        <w:t>SF</w:t>
      </w:r>
      <w:r w:rsidR="00E84D93">
        <w:t xml:space="preserve">, unless approved otherwise by the </w:t>
      </w:r>
      <w:r w:rsidR="0085380C">
        <w:t xml:space="preserve">Bureau of </w:t>
      </w:r>
      <w:r w:rsidR="00E84D93">
        <w:t>Structures Design Section</w:t>
      </w:r>
      <w:r w:rsidR="006D57BF">
        <w:t>.</w:t>
      </w:r>
      <w:r w:rsidR="00CD75C9">
        <w:t xml:space="preserve"> </w:t>
      </w:r>
      <w:r w:rsidR="00996A16">
        <w:t xml:space="preserve">If </w:t>
      </w:r>
      <w:r w:rsidR="00F35534">
        <w:t xml:space="preserve">PPC </w:t>
      </w:r>
      <w:r w:rsidR="00996A16">
        <w:t>is used to fill</w:t>
      </w:r>
      <w:r w:rsidR="008F0740">
        <w:t xml:space="preserve"> </w:t>
      </w:r>
      <w:r w:rsidR="00996A16">
        <w:t xml:space="preserve">deck repair areas, </w:t>
      </w:r>
      <w:r w:rsidR="00CD75C9">
        <w:t>p</w:t>
      </w:r>
      <w:r w:rsidR="00F7098D">
        <w:t xml:space="preserve">rime </w:t>
      </w:r>
      <w:r w:rsidR="00CD75C9">
        <w:t xml:space="preserve">the </w:t>
      </w:r>
      <w:r w:rsidR="00F7098D">
        <w:t>patch area as described in Section C.3</w:t>
      </w:r>
      <w:r w:rsidR="00DB46C3">
        <w:t>.1</w:t>
      </w:r>
      <w:r w:rsidR="00F7098D">
        <w:t xml:space="preserve"> of this specification</w:t>
      </w:r>
      <w:r w:rsidR="00152401">
        <w:t>.</w:t>
      </w:r>
      <w:r w:rsidR="002B49C8">
        <w:t xml:space="preserve"> If rapid-set concrete is used, place patches per the manufacturer’s recommendation.</w:t>
      </w:r>
      <w:r w:rsidR="00BB7C64">
        <w:t xml:space="preserve"> If Portland cement concrete is used, place patches per standard spec 509.3.9.1.</w:t>
      </w:r>
    </w:p>
    <w:p w14:paraId="024AAC2B" w14:textId="77777777" w:rsidR="00503A7F" w:rsidRDefault="00503A7F">
      <w:pPr>
        <w:jc w:val="both"/>
      </w:pPr>
    </w:p>
    <w:p w14:paraId="73B2B12A" w14:textId="43ACB2BC" w:rsidR="00885302" w:rsidRDefault="00503A7F">
      <w:pPr>
        <w:jc w:val="both"/>
      </w:pPr>
      <w:r>
        <w:t xml:space="preserve">Deck patching shall be filled and properly finished prior to overlay placement. </w:t>
      </w:r>
      <w:r w:rsidR="002B49C8">
        <w:t xml:space="preserve">Do not place overlay less than 1 hour, or per the manufacturer’s recommendation, after placing </w:t>
      </w:r>
      <w:r w:rsidR="00F35534">
        <w:t>PPC</w:t>
      </w:r>
      <w:r w:rsidR="002B49C8">
        <w:t xml:space="preserve"> or rapid-set concrete patches in the repair areas. </w:t>
      </w:r>
      <w:r w:rsidR="00152401">
        <w:t xml:space="preserve">Do not place overlay less than 28 days after placing Portland cement </w:t>
      </w:r>
      <w:r w:rsidR="00BB7C64">
        <w:t>concrete patches in the repair areas</w:t>
      </w:r>
      <w:r w:rsidR="00145314">
        <w:t>.</w:t>
      </w:r>
    </w:p>
    <w:p w14:paraId="75C4C49A" w14:textId="77777777" w:rsidR="00ED78F0" w:rsidRDefault="00ED78F0" w:rsidP="003C4654">
      <w:pPr>
        <w:jc w:val="both"/>
        <w:rPr>
          <w:b/>
        </w:rPr>
      </w:pPr>
    </w:p>
    <w:p w14:paraId="09F9CE89" w14:textId="7E329681" w:rsidR="00F7098D" w:rsidRDefault="00ED78F0" w:rsidP="003C4654">
      <w:pPr>
        <w:jc w:val="both"/>
      </w:pPr>
      <w:r>
        <w:rPr>
          <w:b/>
        </w:rPr>
        <w:t xml:space="preserve">C.2.2  Surface </w:t>
      </w:r>
      <w:r w:rsidRPr="008C79C2">
        <w:rPr>
          <w:b/>
        </w:rPr>
        <w:t>Preparation</w:t>
      </w:r>
    </w:p>
    <w:p w14:paraId="4F7506AE" w14:textId="7FA2F361" w:rsidR="004E4D5B" w:rsidRDefault="004E4D5B" w:rsidP="003C4654">
      <w:pPr>
        <w:jc w:val="both"/>
      </w:pPr>
      <w:r w:rsidRPr="00E0734D">
        <w:t>Determine an acceptable shotblasting machine operation (size of shot, flow of shot, forward speed, and/or number of passes) that provides a surface a profile meeting CSP 5 according to the International Concrete Repair Institute Technical Guideline No. 03732.</w:t>
      </w:r>
      <w:r w:rsidR="001465C6">
        <w:t xml:space="preserve"> </w:t>
      </w:r>
      <w:r w:rsidRPr="00E0734D">
        <w:t xml:space="preserve"> </w:t>
      </w:r>
      <w:r w:rsidR="00342C96">
        <w:t>T</w:t>
      </w:r>
      <w:r w:rsidRPr="00E0734D">
        <w:t>est the tensile bond strength according to</w:t>
      </w:r>
      <w:r w:rsidR="00334F1D">
        <w:t xml:space="preserve"> ASTM C1583</w:t>
      </w:r>
      <w:r w:rsidRPr="00E0734D">
        <w:t>.</w:t>
      </w:r>
      <w:r w:rsidR="001465C6">
        <w:t xml:space="preserve"> </w:t>
      </w:r>
      <w:r w:rsidRPr="00E0734D">
        <w:t xml:space="preserve"> The surface preparation will be considered acceptable if the tensile bond strength is greater than or equal to 250 psi or </w:t>
      </w:r>
      <w:r w:rsidR="00850C06">
        <w:t>if there is a failure into the su</w:t>
      </w:r>
      <w:r w:rsidR="00E67ED9">
        <w:t>bstrate where more than 5</w:t>
      </w:r>
      <w:r w:rsidR="00850C06">
        <w:t>0% of the co</w:t>
      </w:r>
      <w:r w:rsidR="00957818">
        <w:t>re area has failed deeper than 1/4</w:t>
      </w:r>
      <w:r w:rsidR="001465C6">
        <w:t>-</w:t>
      </w:r>
      <w:r w:rsidR="00850C06">
        <w:t>in</w:t>
      </w:r>
      <w:r w:rsidRPr="00E0734D">
        <w:t>.</w:t>
      </w:r>
      <w:r w:rsidR="00957818">
        <w:t xml:space="preserve"> </w:t>
      </w:r>
      <w:r w:rsidRPr="00E0734D">
        <w:t xml:space="preserve"> Continue adjustment of the shotblasting machine and necessary testing until the surface is acceptable to the engineer or a p</w:t>
      </w:r>
      <w:r w:rsidR="00787567">
        <w:t>assing test result is obtained.  Test the tensile bond strength of the prepared concrete substrate at a minimum of 2 locations in the first 500 SF and a minimum of 1 location every additional 5000 SF, as determined by the engineer.  Perform all tests in the presence of the engineer.</w:t>
      </w:r>
    </w:p>
    <w:p w14:paraId="578E21CB" w14:textId="77777777" w:rsidR="00787567" w:rsidRDefault="00787567" w:rsidP="003C4654">
      <w:pPr>
        <w:jc w:val="both"/>
      </w:pPr>
    </w:p>
    <w:p w14:paraId="02B347C2" w14:textId="295FCEF2" w:rsidR="004E4D5B" w:rsidRDefault="00787567" w:rsidP="003C4654">
      <w:pPr>
        <w:jc w:val="both"/>
      </w:pPr>
      <w:r>
        <w:t xml:space="preserve">The engineer may consider alternate surface preparation methods per the overlay system manufacturer’s recommendations.  The engineer must approve the final surface profile and deck cleanliness prior to the contractor placing the </w:t>
      </w:r>
      <w:r w:rsidR="00F35534">
        <w:t>PPC</w:t>
      </w:r>
      <w:r>
        <w:t xml:space="preserve"> overlay.</w:t>
      </w:r>
    </w:p>
    <w:p w14:paraId="32D49D3E" w14:textId="77777777" w:rsidR="00787567" w:rsidRPr="00E0734D" w:rsidRDefault="00787567" w:rsidP="003C4654">
      <w:pPr>
        <w:jc w:val="both"/>
      </w:pPr>
    </w:p>
    <w:p w14:paraId="21A11D1C" w14:textId="2AC43CA8" w:rsidR="004E4D5B" w:rsidRPr="00E0734D" w:rsidRDefault="004E4D5B" w:rsidP="003C4654">
      <w:pPr>
        <w:jc w:val="both"/>
      </w:pPr>
      <w:r w:rsidRPr="00E0734D">
        <w:t>Prepare the entire deck</w:t>
      </w:r>
      <w:r w:rsidR="00E8054B">
        <w:t>,</w:t>
      </w:r>
      <w:r w:rsidRPr="00E0734D">
        <w:t xml:space="preserve"> </w:t>
      </w:r>
      <w:r w:rsidR="000336E1">
        <w:t>or portion of the deck to be overlai</w:t>
      </w:r>
      <w:r w:rsidR="002330A0">
        <w:t xml:space="preserve">d </w:t>
      </w:r>
      <w:r w:rsidR="00DB46C3">
        <w:t xml:space="preserve">in one placement </w:t>
      </w:r>
      <w:r w:rsidR="000336E1">
        <w:t>when staged construction is being employed</w:t>
      </w:r>
      <w:r w:rsidR="00E8054B">
        <w:t>,</w:t>
      </w:r>
      <w:r w:rsidR="000336E1">
        <w:t xml:space="preserve"> </w:t>
      </w:r>
      <w:r w:rsidRPr="00E0734D">
        <w:t>using the final accepted adjustments to the shotblasting machine as determined above.</w:t>
      </w:r>
      <w:r w:rsidR="001465C6">
        <w:t xml:space="preserve"> </w:t>
      </w:r>
      <w:r w:rsidRPr="00E0734D">
        <w:t xml:space="preserve"> </w:t>
      </w:r>
      <w:r w:rsidR="00F8173B">
        <w:t>Blasting shall remove all dirt, oil, asphalt, rubber, curing compound, paint, carbonation, grease, slurry, membranes, striping,</w:t>
      </w:r>
      <w:r w:rsidR="000336E1">
        <w:t xml:space="preserve"> rust, weak surface mortar,</w:t>
      </w:r>
      <w:r w:rsidR="00F8173B">
        <w:t xml:space="preserve"> laitance, and othe</w:t>
      </w:r>
      <w:r w:rsidR="008F43FB">
        <w:t>r</w:t>
      </w:r>
      <w:r w:rsidR="00F8173B">
        <w:t xml:space="preserve"> foreign or potentially detrimental materials.</w:t>
      </w:r>
      <w:r w:rsidR="001465C6">
        <w:t xml:space="preserve"> </w:t>
      </w:r>
      <w:r w:rsidR="00F8173B">
        <w:t xml:space="preserve"> </w:t>
      </w:r>
      <w:r w:rsidRPr="00E0734D">
        <w:t>Thoroug</w:t>
      </w:r>
      <w:r w:rsidR="00996A16">
        <w:t xml:space="preserve">hly blast </w:t>
      </w:r>
      <w:r w:rsidRPr="00E0734D">
        <w:t>clean with hand-held equipment any areas inaccessibl</w:t>
      </w:r>
      <w:r w:rsidR="008F43FB">
        <w:t>e by the shotblasting equipment</w:t>
      </w:r>
      <w:r w:rsidR="00F8173B">
        <w:t>.</w:t>
      </w:r>
      <w:r w:rsidR="001465C6">
        <w:t xml:space="preserve"> </w:t>
      </w:r>
      <w:r w:rsidR="00F8173B">
        <w:t xml:space="preserve"> </w:t>
      </w:r>
      <w:r w:rsidRPr="00E0734D">
        <w:t xml:space="preserve">Do not perform surface preparation more than 24 hours </w:t>
      </w:r>
      <w:r w:rsidR="00930D7B">
        <w:t xml:space="preserve">prior to the application of the </w:t>
      </w:r>
      <w:r w:rsidR="00F10D1D">
        <w:t>primer</w:t>
      </w:r>
      <w:r w:rsidRPr="00E0734D">
        <w:t>.</w:t>
      </w:r>
      <w:r w:rsidR="001465C6">
        <w:t xml:space="preserve"> </w:t>
      </w:r>
      <w:r w:rsidR="00F8173B">
        <w:t xml:space="preserve"> Blasted surface shall not be exposed to vehicular or pedestrian traffic other than that required for overlay placement</w:t>
      </w:r>
      <w:r w:rsidR="009C0522">
        <w:t xml:space="preserve"> and approved by the Engineer</w:t>
      </w:r>
      <w:r w:rsidR="00F8173B">
        <w:t xml:space="preserve">.  </w:t>
      </w:r>
    </w:p>
    <w:p w14:paraId="3CE66D86" w14:textId="77777777" w:rsidR="004E4D5B" w:rsidRPr="00E0734D" w:rsidRDefault="004E4D5B" w:rsidP="003C4654">
      <w:pPr>
        <w:jc w:val="both"/>
      </w:pPr>
    </w:p>
    <w:p w14:paraId="6F0489EA" w14:textId="77777777" w:rsidR="00CB1336" w:rsidRPr="00E0734D" w:rsidRDefault="00CB1336" w:rsidP="003C4654">
      <w:pPr>
        <w:jc w:val="both"/>
      </w:pPr>
      <w:r>
        <w:t xml:space="preserve">Prepare the vertical </w:t>
      </w:r>
      <w:r w:rsidR="00E27EBA">
        <w:t xml:space="preserve">or nearly vertical </w:t>
      </w:r>
      <w:r>
        <w:t>concrete surfaces adja</w:t>
      </w:r>
      <w:r w:rsidR="001465C6">
        <w:t>cent to the deck a minimum of 2-</w:t>
      </w:r>
      <w:r>
        <w:t xml:space="preserve">in above the overlay </w:t>
      </w:r>
      <w:r w:rsidR="000A70E8">
        <w:t>per</w:t>
      </w:r>
      <w:r>
        <w:t xml:space="preserve"> SSPC-SP </w:t>
      </w:r>
      <w:r w:rsidR="00582F0F">
        <w:t>13</w:t>
      </w:r>
      <w:r>
        <w:t xml:space="preserve"> by sand blasting, using wire wheels, or other approved method.</w:t>
      </w:r>
    </w:p>
    <w:p w14:paraId="1C2BC6DA" w14:textId="77777777" w:rsidR="00CB1336" w:rsidRPr="00E0734D" w:rsidRDefault="00CB1336" w:rsidP="003C4654">
      <w:pPr>
        <w:jc w:val="both"/>
      </w:pPr>
    </w:p>
    <w:p w14:paraId="567861F3" w14:textId="77777777" w:rsidR="00CB1336" w:rsidRDefault="00CB1336" w:rsidP="003C4654">
      <w:pPr>
        <w:jc w:val="both"/>
      </w:pPr>
      <w:r w:rsidRPr="00E0734D">
        <w:lastRenderedPageBreak/>
        <w:t xml:space="preserve">Just prior to overlay placement, clean all dust, debris, and concrete fines from the deck surface including vertical faces of curbs and barrier walls up to a height of </w:t>
      </w:r>
      <w:r w:rsidR="000336E1">
        <w:t>2</w:t>
      </w:r>
      <w:r w:rsidR="001465C6">
        <w:t>-</w:t>
      </w:r>
      <w:r w:rsidRPr="00E0734D">
        <w:t>in above the overlay with compressed air.</w:t>
      </w:r>
      <w:r w:rsidR="001465C6">
        <w:t xml:space="preserve"> </w:t>
      </w:r>
      <w:r w:rsidRPr="00E0734D">
        <w:t xml:space="preserve"> </w:t>
      </w:r>
      <w:r w:rsidR="00E27EBA">
        <w:t>T</w:t>
      </w:r>
      <w:r w:rsidRPr="00E0734D">
        <w:t>he air stream must be free of oil</w:t>
      </w:r>
      <w:r w:rsidR="000336E1">
        <w:t xml:space="preserve"> and moisture</w:t>
      </w:r>
      <w:r w:rsidRPr="00E0734D">
        <w:t>.</w:t>
      </w:r>
      <w:r w:rsidR="001465C6">
        <w:t xml:space="preserve"> </w:t>
      </w:r>
      <w:r w:rsidRPr="00E0734D">
        <w:t xml:space="preserve"> Any grease, oil, or other foreign matter that rests on or has absorbed into the concrete shall be removed completely.</w:t>
      </w:r>
    </w:p>
    <w:p w14:paraId="63528F6D" w14:textId="77777777" w:rsidR="00CB1336" w:rsidRPr="00E0734D" w:rsidRDefault="00CB1336" w:rsidP="003C4654">
      <w:pPr>
        <w:jc w:val="both"/>
      </w:pPr>
    </w:p>
    <w:p w14:paraId="715534DE" w14:textId="77777777" w:rsidR="00CB1336" w:rsidRPr="00E0734D" w:rsidRDefault="00CB1336" w:rsidP="003C4654">
      <w:pPr>
        <w:jc w:val="both"/>
      </w:pPr>
      <w:r>
        <w:t>Protect drains, expansion joints, access hatches, or other appurtenances on the deck from damage by the shot and sand blasting operations and from material adhering and entering.</w:t>
      </w:r>
      <w:r w:rsidR="001465C6">
        <w:t xml:space="preserve"> </w:t>
      </w:r>
      <w:r>
        <w:t xml:space="preserve"> Tape or form all construction joints to provide a clean straight edge.</w:t>
      </w:r>
    </w:p>
    <w:p w14:paraId="6CDA148B" w14:textId="1B4093BD" w:rsidR="004E4D5B" w:rsidRDefault="004E4D5B" w:rsidP="003C4654">
      <w:pPr>
        <w:jc w:val="both"/>
      </w:pPr>
    </w:p>
    <w:p w14:paraId="52818212" w14:textId="0069AFDB" w:rsidR="00547BD8" w:rsidRDefault="00547BD8" w:rsidP="00547BD8">
      <w:pPr>
        <w:jc w:val="both"/>
      </w:pPr>
      <w:r>
        <w:rPr>
          <w:b/>
        </w:rPr>
        <w:t>C.2.3  Transitional Area</w:t>
      </w:r>
    </w:p>
    <w:p w14:paraId="177083EB" w14:textId="318AA381" w:rsidR="00547BD8" w:rsidRDefault="00547BD8" w:rsidP="00547BD8">
      <w:pPr>
        <w:jc w:val="both"/>
      </w:pPr>
      <w:bookmarkStart w:id="3" w:name="_Hlk11758224"/>
      <w:r>
        <w:t xml:space="preserve">If the plans show, create a transitional area approaching </w:t>
      </w:r>
      <w:r w:rsidR="0074177B">
        <w:t xml:space="preserve">the </w:t>
      </w:r>
      <w:r>
        <w:t>transverse expansion joint</w:t>
      </w:r>
      <w:r w:rsidR="00265BC2">
        <w:t>s and end of the deck using a diamond grinder</w:t>
      </w:r>
      <w:r>
        <w:t xml:space="preserve"> or blasting method. </w:t>
      </w:r>
      <w:bookmarkStart w:id="4" w:name="_Hlk11760071"/>
      <w:r>
        <w:t xml:space="preserve">Remove </w:t>
      </w:r>
      <w:r w:rsidR="00AA52E4">
        <w:t>concrete</w:t>
      </w:r>
      <w:r w:rsidR="00F61B5D">
        <w:t xml:space="preserve"> to the depth of the overlay thickness </w:t>
      </w:r>
      <w:r w:rsidR="00AA52E4">
        <w:t xml:space="preserve">adjacent to the joint or end of deck </w:t>
      </w:r>
      <w:r w:rsidR="0074177B" w:rsidRPr="00F779B0">
        <w:t xml:space="preserve">and </w:t>
      </w:r>
      <w:r w:rsidR="0074177B">
        <w:t>provide a transition as the plans show</w:t>
      </w:r>
      <w:r w:rsidR="00AA52E4">
        <w:t>.</w:t>
      </w:r>
      <w:bookmarkEnd w:id="3"/>
      <w:bookmarkEnd w:id="4"/>
    </w:p>
    <w:p w14:paraId="5BCA68B8" w14:textId="7F2037C0" w:rsidR="00096007" w:rsidRDefault="00096007" w:rsidP="00547BD8">
      <w:pPr>
        <w:jc w:val="both"/>
      </w:pPr>
    </w:p>
    <w:p w14:paraId="7ED552EF" w14:textId="5C91C5C4" w:rsidR="00547BD8" w:rsidRDefault="00096007" w:rsidP="0074177B">
      <w:pPr>
        <w:jc w:val="both"/>
      </w:pPr>
      <w:r w:rsidRPr="00096007">
        <w:t>If the plans show, create a transitional area</w:t>
      </w:r>
      <w:r>
        <w:t xml:space="preserve"> on the approach pavement.</w:t>
      </w:r>
      <w:r w:rsidRPr="00096007">
        <w:t xml:space="preserve"> </w:t>
      </w:r>
      <w:r w:rsidR="0074177B" w:rsidRPr="00F779B0">
        <w:t>Remove concrete to the dept</w:t>
      </w:r>
      <w:r w:rsidR="0074177B">
        <w:t>h of the overlay thickness</w:t>
      </w:r>
      <w:r w:rsidR="0074177B" w:rsidRPr="00F779B0">
        <w:t xml:space="preserve"> and </w:t>
      </w:r>
      <w:r w:rsidR="0074177B">
        <w:t>provide a transition as the plans show</w:t>
      </w:r>
      <w:r w:rsidR="0074177B" w:rsidRPr="00F779B0">
        <w:t>.</w:t>
      </w:r>
      <w:r w:rsidR="0074177B">
        <w:t xml:space="preserve"> </w:t>
      </w:r>
      <w:r>
        <w:t>Prep</w:t>
      </w:r>
      <w:r w:rsidR="00E8054B">
        <w:t>are</w:t>
      </w:r>
      <w:r>
        <w:t xml:space="preserve"> and </w:t>
      </w:r>
      <w:r w:rsidR="00F779B0">
        <w:t>place overlay beyond the end of the deck the same width as the deck.</w:t>
      </w:r>
    </w:p>
    <w:p w14:paraId="7A0DA00E" w14:textId="77777777" w:rsidR="00E8054B" w:rsidRPr="0074177B" w:rsidRDefault="00E8054B" w:rsidP="0074177B">
      <w:pPr>
        <w:jc w:val="both"/>
      </w:pPr>
    </w:p>
    <w:p w14:paraId="055307EB" w14:textId="5181E259" w:rsidR="008344D4" w:rsidRDefault="004E4D5B" w:rsidP="003C4654">
      <w:pPr>
        <w:jc w:val="both"/>
        <w:rPr>
          <w:b/>
          <w:bCs/>
        </w:rPr>
      </w:pPr>
      <w:r w:rsidRPr="00E0734D">
        <w:rPr>
          <w:b/>
          <w:bCs/>
        </w:rPr>
        <w:t>C.3</w:t>
      </w:r>
      <w:r w:rsidR="008467A3">
        <w:rPr>
          <w:b/>
          <w:bCs/>
        </w:rPr>
        <w:t xml:space="preserve">  </w:t>
      </w:r>
      <w:r w:rsidR="008344D4">
        <w:rPr>
          <w:b/>
          <w:bCs/>
        </w:rPr>
        <w:t>Application of the Overlay System</w:t>
      </w:r>
      <w:r w:rsidRPr="00E0734D">
        <w:rPr>
          <w:b/>
          <w:bCs/>
        </w:rPr>
        <w:t xml:space="preserve"> </w:t>
      </w:r>
      <w:r>
        <w:rPr>
          <w:b/>
          <w:bCs/>
        </w:rPr>
        <w:t xml:space="preserve"> </w:t>
      </w:r>
      <w:r w:rsidR="00C94BB9">
        <w:rPr>
          <w:b/>
          <w:bCs/>
        </w:rPr>
        <w:tab/>
      </w:r>
    </w:p>
    <w:p w14:paraId="5D6379BE" w14:textId="77777777" w:rsidR="008344D4" w:rsidRDefault="006A2DFF" w:rsidP="003C4654">
      <w:pPr>
        <w:jc w:val="both"/>
      </w:pPr>
      <w:r>
        <w:t xml:space="preserve">Apply the overlay system </w:t>
      </w:r>
      <w:r w:rsidR="000A70E8">
        <w:t>conforming to</w:t>
      </w:r>
      <w:r>
        <w:t xml:space="preserve"> the manufacturer’s instructions.</w:t>
      </w:r>
    </w:p>
    <w:p w14:paraId="4C4250C7" w14:textId="77777777" w:rsidR="006A2DFF" w:rsidRDefault="006A2DFF" w:rsidP="003C4654">
      <w:pPr>
        <w:jc w:val="both"/>
      </w:pPr>
    </w:p>
    <w:p w14:paraId="2721CB92" w14:textId="77777777" w:rsidR="008344D4" w:rsidRDefault="008344D4" w:rsidP="003C4654">
      <w:pPr>
        <w:jc w:val="both"/>
      </w:pPr>
      <w:r w:rsidRPr="00E0734D">
        <w:t xml:space="preserve">Do not apply the overlay system if any of the following </w:t>
      </w:r>
      <w:r>
        <w:t>is true</w:t>
      </w:r>
      <w:r w:rsidRPr="00E0734D">
        <w:t>:</w:t>
      </w:r>
    </w:p>
    <w:p w14:paraId="568B5B62" w14:textId="77777777" w:rsidR="008344D4" w:rsidRPr="00E0734D" w:rsidRDefault="008344D4" w:rsidP="003C4654">
      <w:pPr>
        <w:pStyle w:val="ListParagraph"/>
        <w:numPr>
          <w:ilvl w:val="0"/>
          <w:numId w:val="4"/>
        </w:numPr>
        <w:ind w:left="1080"/>
        <w:jc w:val="both"/>
      </w:pPr>
      <w:r w:rsidRPr="00E0734D">
        <w:t xml:space="preserve">Ambient air temperature is below </w:t>
      </w:r>
      <w:r>
        <w:t xml:space="preserve">or expected to drop below </w:t>
      </w:r>
      <w:r w:rsidR="00C645D0">
        <w:t>50°</w:t>
      </w:r>
      <w:r>
        <w:t>F</w:t>
      </w:r>
      <w:r w:rsidR="00DB46C3">
        <w:t>,</w:t>
      </w:r>
      <w:r>
        <w:t xml:space="preserve"> or the manufacturer’s recommended temperature</w:t>
      </w:r>
      <w:r w:rsidR="00DB46C3">
        <w:t>,</w:t>
      </w:r>
      <w:r>
        <w:t xml:space="preserve"> within 8 hours</w:t>
      </w:r>
    </w:p>
    <w:p w14:paraId="3B3D930C" w14:textId="77777777" w:rsidR="008344D4" w:rsidRPr="00E0734D" w:rsidRDefault="008344D4" w:rsidP="003C4654">
      <w:pPr>
        <w:pStyle w:val="ListParagraph"/>
        <w:numPr>
          <w:ilvl w:val="0"/>
          <w:numId w:val="4"/>
        </w:numPr>
        <w:ind w:left="1080"/>
        <w:jc w:val="both"/>
      </w:pPr>
      <w:r w:rsidRPr="00E0734D">
        <w:t>Deck</w:t>
      </w:r>
      <w:r w:rsidR="000336E1">
        <w:t xml:space="preserve"> surface</w:t>
      </w:r>
      <w:r w:rsidRPr="00E0734D">
        <w:t xml:space="preserve"> temperature is below 50</w:t>
      </w:r>
      <w:r w:rsidR="00C645D0">
        <w:t>°</w:t>
      </w:r>
      <w:r w:rsidRPr="00E0734D">
        <w:t>F</w:t>
      </w:r>
      <w:r>
        <w:t xml:space="preserve"> or above 100</w:t>
      </w:r>
      <w:r w:rsidR="00C645D0">
        <w:t>°</w:t>
      </w:r>
      <w:r>
        <w:t>F</w:t>
      </w:r>
    </w:p>
    <w:p w14:paraId="403DE278" w14:textId="63906272" w:rsidR="008344D4" w:rsidRPr="00E0734D" w:rsidRDefault="008344D4" w:rsidP="00C32CCC">
      <w:pPr>
        <w:pStyle w:val="ListParagraph"/>
        <w:numPr>
          <w:ilvl w:val="0"/>
          <w:numId w:val="4"/>
        </w:numPr>
        <w:ind w:left="1080"/>
        <w:jc w:val="both"/>
      </w:pPr>
      <w:r w:rsidRPr="00E0734D">
        <w:t>Moisture content in the deck exceeds 4.5% when measured by an electronic moisture meter</w:t>
      </w:r>
      <w:r w:rsidR="00E651F2">
        <w:t xml:space="preserve"> or </w:t>
      </w:r>
      <w:r w:rsidR="00E273BC">
        <w:t>shows visible moisture after 2 hours when measured in accordance</w:t>
      </w:r>
      <w:r w:rsidR="007A1B22">
        <w:t xml:space="preserve"> with</w:t>
      </w:r>
      <w:r w:rsidR="00E651F2">
        <w:t xml:space="preserve"> ASTM D4263</w:t>
      </w:r>
      <w:r w:rsidR="00E273BC">
        <w:t>.</w:t>
      </w:r>
    </w:p>
    <w:p w14:paraId="2125EF36" w14:textId="77777777" w:rsidR="008344D4" w:rsidRPr="00E0734D" w:rsidRDefault="008344D4" w:rsidP="003C4654">
      <w:pPr>
        <w:pStyle w:val="ListParagraph"/>
        <w:numPr>
          <w:ilvl w:val="0"/>
          <w:numId w:val="4"/>
        </w:numPr>
        <w:ind w:left="1080"/>
        <w:jc w:val="both"/>
      </w:pPr>
      <w:r w:rsidRPr="00E0734D">
        <w:t>Materials component temperatures</w:t>
      </w:r>
      <w:r w:rsidR="00DB46C3">
        <w:t xml:space="preserve"> are</w:t>
      </w:r>
      <w:r w:rsidRPr="00E0734D">
        <w:t xml:space="preserve"> below 50</w:t>
      </w:r>
      <w:r w:rsidR="00C645D0">
        <w:t>°</w:t>
      </w:r>
      <w:r w:rsidRPr="00E0734D">
        <w:t>F</w:t>
      </w:r>
      <w:r w:rsidR="00DB46C3">
        <w:t xml:space="preserve"> or above 100</w:t>
      </w:r>
      <w:r w:rsidR="00C645D0">
        <w:t>°</w:t>
      </w:r>
      <w:r>
        <w:t>F</w:t>
      </w:r>
    </w:p>
    <w:p w14:paraId="4756A762" w14:textId="77777777" w:rsidR="008344D4" w:rsidRDefault="008344D4" w:rsidP="003C4654">
      <w:pPr>
        <w:pStyle w:val="ListParagraph"/>
        <w:numPr>
          <w:ilvl w:val="0"/>
          <w:numId w:val="4"/>
        </w:numPr>
        <w:ind w:left="1080"/>
        <w:jc w:val="both"/>
      </w:pPr>
      <w:r w:rsidRPr="00E0734D">
        <w:t>Concrete age is less than 28 days</w:t>
      </w:r>
      <w:r w:rsidR="00C645D0">
        <w:t>,</w:t>
      </w:r>
      <w:r w:rsidRPr="00E0734D">
        <w:t xml:space="preserve"> </w:t>
      </w:r>
      <w:r>
        <w:t>unless approved by the engineer</w:t>
      </w:r>
    </w:p>
    <w:p w14:paraId="6260405A" w14:textId="351DA773" w:rsidR="008344D4" w:rsidRDefault="008344D4" w:rsidP="003C4654">
      <w:pPr>
        <w:pStyle w:val="ListParagraph"/>
        <w:numPr>
          <w:ilvl w:val="0"/>
          <w:numId w:val="4"/>
        </w:numPr>
        <w:ind w:left="1080"/>
        <w:jc w:val="both"/>
      </w:pPr>
      <w:r>
        <w:t xml:space="preserve">Gel time is </w:t>
      </w:r>
      <w:r w:rsidR="009C0522">
        <w:t xml:space="preserve">15 </w:t>
      </w:r>
      <w:r>
        <w:t>minutes or less at predicted high air temperature for the day</w:t>
      </w:r>
    </w:p>
    <w:p w14:paraId="2191B029" w14:textId="77777777" w:rsidR="008344D4" w:rsidRDefault="008344D4" w:rsidP="003C4654">
      <w:pPr>
        <w:pStyle w:val="ListParagraph"/>
        <w:numPr>
          <w:ilvl w:val="0"/>
          <w:numId w:val="4"/>
        </w:numPr>
        <w:ind w:left="1080"/>
        <w:jc w:val="both"/>
      </w:pPr>
      <w:r>
        <w:t>The relati</w:t>
      </w:r>
      <w:r w:rsidR="00C645D0">
        <w:t>ve humidity is greater than 85%</w:t>
      </w:r>
    </w:p>
    <w:p w14:paraId="6D1FEB36" w14:textId="77777777" w:rsidR="000336E1" w:rsidRDefault="000336E1" w:rsidP="003C4654">
      <w:pPr>
        <w:jc w:val="both"/>
        <w:rPr>
          <w:b/>
          <w:bCs/>
        </w:rPr>
      </w:pPr>
    </w:p>
    <w:p w14:paraId="7C8F5A0B" w14:textId="77777777" w:rsidR="004E4D5B" w:rsidRDefault="008467A3" w:rsidP="003C4654">
      <w:pPr>
        <w:jc w:val="both"/>
        <w:rPr>
          <w:b/>
          <w:bCs/>
        </w:rPr>
      </w:pPr>
      <w:r>
        <w:rPr>
          <w:b/>
          <w:bCs/>
        </w:rPr>
        <w:t xml:space="preserve">C.3.1  </w:t>
      </w:r>
      <w:r w:rsidR="004E4D5B" w:rsidRPr="00E0734D">
        <w:rPr>
          <w:b/>
          <w:bCs/>
        </w:rPr>
        <w:t xml:space="preserve">Application of the </w:t>
      </w:r>
      <w:r w:rsidR="00F10D1D">
        <w:rPr>
          <w:b/>
          <w:bCs/>
        </w:rPr>
        <w:t>Primer</w:t>
      </w:r>
    </w:p>
    <w:p w14:paraId="227E59B3" w14:textId="77777777" w:rsidR="004D0984" w:rsidRDefault="00FC7256" w:rsidP="003C4654">
      <w:pPr>
        <w:jc w:val="both"/>
        <w:rPr>
          <w:bCs/>
        </w:rPr>
      </w:pPr>
      <w:r>
        <w:t>Apply primer to the deck surface within 5 minutes of mixing at approximately 1 gallon per 100 square feet</w:t>
      </w:r>
      <w:r w:rsidR="008344D4">
        <w:t xml:space="preserve"> or the rate specified by the manufacturer</w:t>
      </w:r>
      <w:r>
        <w:t>.</w:t>
      </w:r>
      <w:r w:rsidR="001465C6">
        <w:t xml:space="preserve"> </w:t>
      </w:r>
      <w:r>
        <w:t xml:space="preserve"> Use a squeegee, roller, broom, low pressure sprayer, etc. to distribute the material uniformly</w:t>
      </w:r>
      <w:r w:rsidR="008344D4">
        <w:t xml:space="preserve"> and to completely cover the area receiving the overlay</w:t>
      </w:r>
      <w:r>
        <w:t>.</w:t>
      </w:r>
      <w:r w:rsidR="001465C6">
        <w:t xml:space="preserve"> </w:t>
      </w:r>
      <w:r>
        <w:t xml:space="preserve"> </w:t>
      </w:r>
      <w:r>
        <w:rPr>
          <w:bCs/>
        </w:rPr>
        <w:t>Remove</w:t>
      </w:r>
      <w:r w:rsidR="00220C15">
        <w:rPr>
          <w:bCs/>
        </w:rPr>
        <w:t xml:space="preserve"> excess buildup</w:t>
      </w:r>
      <w:r w:rsidR="008344D4">
        <w:rPr>
          <w:bCs/>
        </w:rPr>
        <w:t xml:space="preserve"> and re-prime any areas that appear dry from absorbing material</w:t>
      </w:r>
      <w:r w:rsidR="00220C15">
        <w:rPr>
          <w:bCs/>
        </w:rPr>
        <w:t>.</w:t>
      </w:r>
      <w:r w:rsidR="001465C6">
        <w:rPr>
          <w:bCs/>
        </w:rPr>
        <w:t xml:space="preserve"> </w:t>
      </w:r>
      <w:r w:rsidR="00220C15">
        <w:rPr>
          <w:bCs/>
        </w:rPr>
        <w:t xml:space="preserve"> </w:t>
      </w:r>
      <w:r w:rsidR="008344D4">
        <w:rPr>
          <w:bCs/>
        </w:rPr>
        <w:t xml:space="preserve">Wait a minimum of 15 </w:t>
      </w:r>
      <w:r w:rsidR="00220C15">
        <w:rPr>
          <w:bCs/>
        </w:rPr>
        <w:t xml:space="preserve">minutes </w:t>
      </w:r>
      <w:r w:rsidR="008344D4">
        <w:rPr>
          <w:bCs/>
        </w:rPr>
        <w:t xml:space="preserve">or as recommended by the manufacturer </w:t>
      </w:r>
      <w:r w:rsidR="00220C15">
        <w:rPr>
          <w:bCs/>
        </w:rPr>
        <w:t xml:space="preserve">before placement of </w:t>
      </w:r>
      <w:r w:rsidR="008344D4">
        <w:rPr>
          <w:bCs/>
        </w:rPr>
        <w:t xml:space="preserve">the </w:t>
      </w:r>
      <w:r w:rsidR="00220C15">
        <w:rPr>
          <w:bCs/>
        </w:rPr>
        <w:t>overlay.</w:t>
      </w:r>
      <w:r w:rsidR="001465C6">
        <w:rPr>
          <w:bCs/>
        </w:rPr>
        <w:t xml:space="preserve"> </w:t>
      </w:r>
      <w:r w:rsidR="008344D4">
        <w:rPr>
          <w:bCs/>
        </w:rPr>
        <w:t xml:space="preserve"> If the primed surface becomes contaminated, clean and re-prime it.</w:t>
      </w:r>
    </w:p>
    <w:p w14:paraId="6443EBB0" w14:textId="77777777" w:rsidR="00220C15" w:rsidRPr="00220C15" w:rsidRDefault="00220C15" w:rsidP="003C4654">
      <w:pPr>
        <w:jc w:val="both"/>
        <w:rPr>
          <w:bCs/>
        </w:rPr>
      </w:pPr>
    </w:p>
    <w:p w14:paraId="1CB5999A" w14:textId="77777777" w:rsidR="004D0984" w:rsidRDefault="004D0984" w:rsidP="003C4654">
      <w:pPr>
        <w:keepNext/>
        <w:jc w:val="both"/>
        <w:rPr>
          <w:b/>
          <w:bCs/>
        </w:rPr>
      </w:pPr>
      <w:r w:rsidRPr="00E0734D">
        <w:rPr>
          <w:b/>
          <w:bCs/>
        </w:rPr>
        <w:t>C.</w:t>
      </w:r>
      <w:r w:rsidR="008344D4">
        <w:rPr>
          <w:b/>
          <w:bCs/>
        </w:rPr>
        <w:t>3.2</w:t>
      </w:r>
      <w:r w:rsidR="008467A3">
        <w:rPr>
          <w:b/>
          <w:bCs/>
        </w:rPr>
        <w:t xml:space="preserve">  </w:t>
      </w:r>
      <w:r w:rsidRPr="00E0734D">
        <w:rPr>
          <w:b/>
          <w:bCs/>
        </w:rPr>
        <w:t>Application of the Overlay</w:t>
      </w:r>
    </w:p>
    <w:p w14:paraId="7DD27A8A" w14:textId="4557BBA4" w:rsidR="00CB1336" w:rsidRDefault="004E4D5B" w:rsidP="003C4654">
      <w:pPr>
        <w:jc w:val="both"/>
      </w:pPr>
      <w:r w:rsidRPr="00E0734D">
        <w:t xml:space="preserve">Perform the handling and mixing of the polymer resin and hardening agent in a safe manner to achieve the desired results according to the manufacturer’s instructions. </w:t>
      </w:r>
      <w:r w:rsidR="00024ECE">
        <w:t xml:space="preserve"> Mix </w:t>
      </w:r>
      <w:r w:rsidR="00F35534">
        <w:t>PPC</w:t>
      </w:r>
      <w:r w:rsidR="00024ECE">
        <w:t xml:space="preserve"> using a </w:t>
      </w:r>
      <w:r w:rsidR="00024ECE">
        <w:lastRenderedPageBreak/>
        <w:t>plant/mixer calibrated according to the manufacturer’s recommendations.  Calibrate the plant/mixer in the presence of the engineer.</w:t>
      </w:r>
    </w:p>
    <w:p w14:paraId="0EB3F8EC" w14:textId="77777777" w:rsidR="004E4D5B" w:rsidRPr="00E0734D" w:rsidRDefault="004E4D5B" w:rsidP="003C4654">
      <w:pPr>
        <w:jc w:val="both"/>
      </w:pPr>
    </w:p>
    <w:p w14:paraId="296121B8" w14:textId="77777777" w:rsidR="004E4D5B" w:rsidRDefault="00B60805" w:rsidP="003C4654">
      <w:pPr>
        <w:jc w:val="both"/>
      </w:pPr>
      <w:r>
        <w:t xml:space="preserve">The polyester concrete shall be placed within </w:t>
      </w:r>
      <w:r w:rsidR="000336E1">
        <w:t>15-</w:t>
      </w:r>
      <w:r>
        <w:t>120 minutes after the primer has been applied</w:t>
      </w:r>
      <w:r w:rsidR="00443091">
        <w:t>, or per the manufacturer’s recommendation</w:t>
      </w:r>
      <w:r>
        <w:t>.</w:t>
      </w:r>
    </w:p>
    <w:p w14:paraId="0E575B3A" w14:textId="77777777" w:rsidR="00D168E3" w:rsidRDefault="00D168E3" w:rsidP="003C4654">
      <w:pPr>
        <w:jc w:val="both"/>
      </w:pPr>
    </w:p>
    <w:p w14:paraId="48536935" w14:textId="4DADC02B" w:rsidR="00D168E3" w:rsidRDefault="00D168E3" w:rsidP="003C4654">
      <w:pPr>
        <w:jc w:val="both"/>
      </w:pPr>
      <w:r>
        <w:t>The polyester concrete shall con</w:t>
      </w:r>
      <w:r w:rsidRPr="00182A83">
        <w:t xml:space="preserve">tain </w:t>
      </w:r>
      <w:r w:rsidR="00C77D72" w:rsidRPr="00182A83">
        <w:t>1</w:t>
      </w:r>
      <w:r w:rsidR="00C77D72" w:rsidRPr="007C0B67">
        <w:t>1</w:t>
      </w:r>
      <w:r w:rsidR="00274177" w:rsidRPr="007C0B67">
        <w:t>-13</w:t>
      </w:r>
      <w:r w:rsidR="006758C5" w:rsidRPr="00182A83">
        <w:t>%</w:t>
      </w:r>
      <w:r w:rsidRPr="00182A83">
        <w:t xml:space="preserve"> </w:t>
      </w:r>
      <w:r w:rsidR="00182A83">
        <w:t xml:space="preserve">polyester resin </w:t>
      </w:r>
      <w:r>
        <w:t>by weight of dry aggregate; the exact percentage will be determined by the engineer during placement to enable proper finishing and texturing of the overlay surface.</w:t>
      </w:r>
    </w:p>
    <w:p w14:paraId="42F7E561" w14:textId="77777777" w:rsidR="00D168E3" w:rsidRDefault="00D168E3" w:rsidP="003C4654">
      <w:pPr>
        <w:jc w:val="both"/>
      </w:pPr>
    </w:p>
    <w:p w14:paraId="3B278CE3" w14:textId="51C66EC6" w:rsidR="00F8751E" w:rsidRDefault="00D168E3" w:rsidP="003C4654">
      <w:pPr>
        <w:jc w:val="both"/>
      </w:pPr>
      <w:r>
        <w:t>The amount of initiator used in polyester concrete shall be sufficient to produce an initial set time between 30</w:t>
      </w:r>
      <w:r w:rsidR="001465C6">
        <w:t>-</w:t>
      </w:r>
      <w:r w:rsidR="007A04EB">
        <w:t>9</w:t>
      </w:r>
      <w:r w:rsidR="00B519F8">
        <w:t>0 minutes</w:t>
      </w:r>
      <w:r w:rsidR="007A04EB">
        <w:t xml:space="preserve">, </w:t>
      </w:r>
      <w:r w:rsidR="009C0522">
        <w:t xml:space="preserve">when the in-place </w:t>
      </w:r>
      <w:r w:rsidR="00F35534">
        <w:t>PPC</w:t>
      </w:r>
      <w:r w:rsidR="009C0522">
        <w:t xml:space="preserve"> cannot be deformed by pressing with a finger.</w:t>
      </w:r>
    </w:p>
    <w:p w14:paraId="7754A15A" w14:textId="77777777" w:rsidR="00F8751E" w:rsidRDefault="00F8751E" w:rsidP="003C4654">
      <w:pPr>
        <w:jc w:val="both"/>
      </w:pPr>
    </w:p>
    <w:p w14:paraId="04BEDF14" w14:textId="77777777" w:rsidR="00D168E3" w:rsidRDefault="007A04EB" w:rsidP="003C4654">
      <w:pPr>
        <w:jc w:val="both"/>
      </w:pPr>
      <w:r>
        <w:t>If initial</w:t>
      </w:r>
      <w:r w:rsidR="001465C6">
        <w:t xml:space="preserve"> set does not occur within 30-</w:t>
      </w:r>
      <w:r>
        <w:t>90 minutes, the material must be removed and replaced at no additional cost.</w:t>
      </w:r>
    </w:p>
    <w:p w14:paraId="2980AC9A" w14:textId="77777777" w:rsidR="00576561" w:rsidRDefault="00576561" w:rsidP="003C4654">
      <w:pPr>
        <w:jc w:val="both"/>
      </w:pPr>
    </w:p>
    <w:p w14:paraId="486A5B79" w14:textId="1106731A" w:rsidR="00576561" w:rsidRDefault="00576561" w:rsidP="003C4654">
      <w:pPr>
        <w:jc w:val="both"/>
      </w:pPr>
      <w:r>
        <w:t xml:space="preserve">Place the </w:t>
      </w:r>
      <w:r w:rsidR="00F35534">
        <w:t>PPC</w:t>
      </w:r>
      <w:r>
        <w:t xml:space="preserve"> before gelling or within 15 minutes of adding the initiator, whichever comes first, or within a more restrictive range if recommended by the manufacturer.  Discard any </w:t>
      </w:r>
      <w:r w:rsidR="00F35534">
        <w:t>PPC</w:t>
      </w:r>
      <w:r>
        <w:t xml:space="preserve"> not</w:t>
      </w:r>
      <w:r w:rsidR="00057EE8">
        <w:t xml:space="preserve"> placed within this time limit at no additional cost.</w:t>
      </w:r>
    </w:p>
    <w:p w14:paraId="33440E65" w14:textId="77777777" w:rsidR="00D168E3" w:rsidRDefault="00D168E3" w:rsidP="003C4654">
      <w:pPr>
        <w:jc w:val="both"/>
      </w:pPr>
    </w:p>
    <w:p w14:paraId="54E8FF93" w14:textId="77777777" w:rsidR="00D168E3" w:rsidRDefault="00576561" w:rsidP="003C4654">
      <w:pPr>
        <w:jc w:val="both"/>
      </w:pPr>
      <w:r>
        <w:t>Consolidate and finish to the required grade and cross-section</w:t>
      </w:r>
      <w:r w:rsidR="007A04EB">
        <w:t xml:space="preserve"> per </w:t>
      </w:r>
      <w:r w:rsidR="00F8751E">
        <w:t>standard spec</w:t>
      </w:r>
      <w:r w:rsidR="007A04EB">
        <w:t xml:space="preserve"> 509</w:t>
      </w:r>
      <w:r>
        <w:t xml:space="preserve">. </w:t>
      </w:r>
      <w:r w:rsidR="00F8751E">
        <w:t xml:space="preserve"> </w:t>
      </w:r>
      <w:r w:rsidR="00E27EBA">
        <w:t xml:space="preserve">Taper at drains and expansion joints as specified by the manufacturer or as indicated on the plans. </w:t>
      </w:r>
      <w:r w:rsidR="001465C6">
        <w:t xml:space="preserve"> </w:t>
      </w:r>
      <w:r>
        <w:t>Terminating</w:t>
      </w:r>
      <w:r w:rsidR="00D168E3">
        <w:t xml:space="preserve"> edges of </w:t>
      </w:r>
      <w:r>
        <w:t xml:space="preserve">the </w:t>
      </w:r>
      <w:r w:rsidR="00D168E3">
        <w:t xml:space="preserve">overlay may require </w:t>
      </w:r>
      <w:r w:rsidR="00715CF7">
        <w:t xml:space="preserve">application and finishing by hand trowel. </w:t>
      </w:r>
      <w:r w:rsidR="001465C6">
        <w:t xml:space="preserve"> </w:t>
      </w:r>
      <w:r w:rsidR="00715CF7">
        <w:t>Finishing and texturing equipment shall be fitted with vibrators and tines or other means of consolidating and texturi</w:t>
      </w:r>
      <w:r>
        <w:t>ng the polyester concrete to</w:t>
      </w:r>
      <w:r w:rsidR="00715CF7">
        <w:t xml:space="preserve"> </w:t>
      </w:r>
      <w:r>
        <w:t>a compaction no less than 97% or as recommended by the manufacturer</w:t>
      </w:r>
      <w:r w:rsidR="00715CF7">
        <w:t xml:space="preserve">. </w:t>
      </w:r>
      <w:r w:rsidR="007A04EB">
        <w:t xml:space="preserve"> A vibratory screed may be used for placement lengths less than 300 ft.  A roller type screed is not allowed.  If a vibratory screed is used, the surface shall be tested in accordance with </w:t>
      </w:r>
      <w:r w:rsidR="00F8751E">
        <w:t>standard spec</w:t>
      </w:r>
      <w:r w:rsidR="007A04EB">
        <w:t xml:space="preserve"> 415.3.10.</w:t>
      </w:r>
    </w:p>
    <w:p w14:paraId="09A17DCD" w14:textId="77777777" w:rsidR="00715CF7" w:rsidRDefault="00715CF7" w:rsidP="003C4654">
      <w:pPr>
        <w:jc w:val="both"/>
      </w:pPr>
    </w:p>
    <w:p w14:paraId="1363DB52" w14:textId="77777777" w:rsidR="00E27EBA" w:rsidRDefault="00E27EBA" w:rsidP="003C4654">
      <w:pPr>
        <w:jc w:val="both"/>
      </w:pPr>
      <w:r>
        <w:t>If the overlay is placed with a paving machine which incorporates tines, apply the finishing sand immediately after texturing.  Otherwise, apply the finishing sand immediately before texturing or as directed by the manufacturer.</w:t>
      </w:r>
      <w:r w:rsidR="001465C6">
        <w:t xml:space="preserve"> </w:t>
      </w:r>
      <w:r>
        <w:t xml:space="preserve"> The finishing sand must be applied before gelling occurs. </w:t>
      </w:r>
    </w:p>
    <w:p w14:paraId="78E194F4" w14:textId="77777777" w:rsidR="000A70E8" w:rsidRDefault="000A70E8" w:rsidP="003C4654">
      <w:pPr>
        <w:jc w:val="both"/>
      </w:pPr>
    </w:p>
    <w:p w14:paraId="011C4F61" w14:textId="77777777" w:rsidR="00715CF7" w:rsidRDefault="00715CF7" w:rsidP="003C4654">
      <w:pPr>
        <w:jc w:val="both"/>
      </w:pPr>
      <w:r>
        <w:t>The finish sand shall be applied by either mechanical or hand dispersion immediately after strike-off, before gelling occurs.</w:t>
      </w:r>
      <w:r w:rsidR="001465C6">
        <w:t xml:space="preserve"> </w:t>
      </w:r>
      <w:r>
        <w:t xml:space="preserve"> Apply at approximately </w:t>
      </w:r>
      <w:r w:rsidR="006A10C8">
        <w:t>15 to 20</w:t>
      </w:r>
      <w:r>
        <w:t xml:space="preserve"> lbs per </w:t>
      </w:r>
      <w:r w:rsidR="009A63F9">
        <w:t xml:space="preserve">100 </w:t>
      </w:r>
      <w:r w:rsidR="000A70E8">
        <w:t>square foot</w:t>
      </w:r>
      <w:r>
        <w:t xml:space="preserve"> or until saturation as determined by the engineer.</w:t>
      </w:r>
      <w:r w:rsidR="00D56118">
        <w:t xml:space="preserve"> </w:t>
      </w:r>
    </w:p>
    <w:p w14:paraId="361DDDBB" w14:textId="77777777" w:rsidR="00D56118" w:rsidRDefault="00D56118" w:rsidP="003C4654">
      <w:pPr>
        <w:jc w:val="both"/>
      </w:pPr>
    </w:p>
    <w:p w14:paraId="32D03031" w14:textId="3F7A635E" w:rsidR="00E27EBA" w:rsidRDefault="00E27EBA" w:rsidP="003C4654">
      <w:pPr>
        <w:jc w:val="both"/>
      </w:pPr>
      <w:r>
        <w:t xml:space="preserve">Texture the overlay surface by transverse grooving </w:t>
      </w:r>
      <w:r w:rsidR="00E810AE">
        <w:t xml:space="preserve">as soon as the condition of the </w:t>
      </w:r>
      <w:r w:rsidR="00F35534">
        <w:t>PPC</w:t>
      </w:r>
      <w:r w:rsidR="00E810AE">
        <w:t xml:space="preserve"> will permit</w:t>
      </w:r>
      <w:r>
        <w:t xml:space="preserve">.  </w:t>
      </w:r>
      <w:r w:rsidR="00E810AE">
        <w:t xml:space="preserve">Use a steel tined tool or a finned float with a single row of fins. </w:t>
      </w:r>
      <w:r w:rsidR="001465C6">
        <w:t xml:space="preserve"> </w:t>
      </w:r>
      <w:r>
        <w:t>Grooves sh</w:t>
      </w:r>
      <w:r w:rsidR="009428CF">
        <w:t>all be approximately 3/16-</w:t>
      </w:r>
      <w:r>
        <w:t xml:space="preserve">in wide at </w:t>
      </w:r>
      <w:r w:rsidR="001465C6">
        <w:t>3/4-</w:t>
      </w:r>
      <w:r w:rsidR="00871566">
        <w:t>in</w:t>
      </w:r>
      <w:r w:rsidR="001465C6">
        <w:t xml:space="preserve"> to </w:t>
      </w:r>
      <w:r>
        <w:t>1</w:t>
      </w:r>
      <w:r w:rsidR="001465C6">
        <w:t>-</w:t>
      </w:r>
      <w:r>
        <w:t>in on center with a depth of approximately</w:t>
      </w:r>
      <w:r w:rsidR="009428CF">
        <w:t xml:space="preserve"> 1/8-</w:t>
      </w:r>
      <w:r>
        <w:t>in.</w:t>
      </w:r>
      <w:r w:rsidR="001465C6">
        <w:t xml:space="preserve"> </w:t>
      </w:r>
      <w:r>
        <w:t xml:space="preserve"> </w:t>
      </w:r>
      <w:r w:rsidR="009B6F91">
        <w:t>Longitudinal grooving is acceptable when steel tines are mounted</w:t>
      </w:r>
      <w:r w:rsidR="006A7193">
        <w:t xml:space="preserve"> to the paving machine.</w:t>
      </w:r>
      <w:r w:rsidR="009B6F91">
        <w:t xml:space="preserve"> </w:t>
      </w:r>
      <w:r>
        <w:t>Do not tine within 1 ft of gutters</w:t>
      </w:r>
      <w:r w:rsidR="00E810AE">
        <w:t>.  Tining may be performed manually provided that the finish obtained is satisfactory to the engineer.</w:t>
      </w:r>
      <w:r w:rsidR="00813A39">
        <w:t xml:space="preserve"> </w:t>
      </w:r>
    </w:p>
    <w:p w14:paraId="77D5A442" w14:textId="77777777" w:rsidR="00886044" w:rsidRDefault="00886044" w:rsidP="003C4654">
      <w:pPr>
        <w:jc w:val="both"/>
      </w:pPr>
    </w:p>
    <w:p w14:paraId="5A0B7DB9" w14:textId="03762025" w:rsidR="00D56118" w:rsidRDefault="00D56118" w:rsidP="003C4654">
      <w:pPr>
        <w:jc w:val="both"/>
      </w:pPr>
      <w:r>
        <w:lastRenderedPageBreak/>
        <w:t xml:space="preserve">The completed </w:t>
      </w:r>
      <w:r w:rsidR="00F35534">
        <w:t>PPC</w:t>
      </w:r>
      <w:r>
        <w:t xml:space="preserve"> overlay surface shall be</w:t>
      </w:r>
      <w:r w:rsidR="00430EBE">
        <w:t xml:space="preserve"> free of any smooth areas</w:t>
      </w:r>
      <w:r w:rsidR="00813A39">
        <w:t xml:space="preserve"> and shall be neat in appearance</w:t>
      </w:r>
      <w:r w:rsidR="00430EBE">
        <w:t xml:space="preserve">.  Any </w:t>
      </w:r>
      <w:r>
        <w:t xml:space="preserve">surface defects shall be repaired by the contractor to the satisfaction of the engineer at no additional cost.  </w:t>
      </w:r>
    </w:p>
    <w:p w14:paraId="05E304E4" w14:textId="77777777" w:rsidR="00D56118" w:rsidRDefault="00D56118" w:rsidP="003C4654">
      <w:pPr>
        <w:jc w:val="both"/>
      </w:pPr>
    </w:p>
    <w:p w14:paraId="713F5AC5" w14:textId="77777777" w:rsidR="00E2113A" w:rsidRDefault="006A10C8" w:rsidP="003C4654">
      <w:pPr>
        <w:jc w:val="both"/>
      </w:pPr>
      <w:r>
        <w:t xml:space="preserve">Allow material to fully cure </w:t>
      </w:r>
      <w:r w:rsidR="00D56118">
        <w:t xml:space="preserve">to a firm, hard surface </w:t>
      </w:r>
      <w:r>
        <w:t xml:space="preserve">before allowing traffic on the </w:t>
      </w:r>
      <w:r w:rsidR="002F0EA0">
        <w:t>overlay</w:t>
      </w:r>
      <w:r>
        <w:t xml:space="preserve">. </w:t>
      </w:r>
      <w:r w:rsidR="001465C6">
        <w:t xml:space="preserve"> </w:t>
      </w:r>
      <w:r>
        <w:t>Cure times will vary depending on product and ambient temperature; refer to manufacturer’s recommendation.</w:t>
      </w:r>
      <w:r w:rsidR="001465C6">
        <w:t xml:space="preserve"> </w:t>
      </w:r>
      <w:r>
        <w:t xml:space="preserve"> </w:t>
      </w:r>
      <w:r w:rsidR="00D56118">
        <w:t>Before opening to traffic, a properly calibrated Schmidt hammer must register a value not less than 25.</w:t>
      </w:r>
      <w:r w:rsidR="001465C6">
        <w:t xml:space="preserve"> </w:t>
      </w:r>
      <w:r w:rsidR="00576561">
        <w:t xml:space="preserve"> The overlay shall be protected from moisture while it cures.</w:t>
      </w:r>
    </w:p>
    <w:p w14:paraId="268A1D65" w14:textId="77777777" w:rsidR="006A10C8" w:rsidRDefault="006A10C8" w:rsidP="003C4654">
      <w:pPr>
        <w:jc w:val="both"/>
      </w:pPr>
    </w:p>
    <w:p w14:paraId="1B967FD7" w14:textId="77777777" w:rsidR="006A10C8" w:rsidRDefault="006A10C8" w:rsidP="003C4654">
      <w:pPr>
        <w:jc w:val="both"/>
      </w:pPr>
      <w:r>
        <w:t>Prior to opening to traffic, clean expansion joints and joint seals of all debris and polymer.</w:t>
      </w:r>
      <w:r w:rsidR="001465C6">
        <w:t xml:space="preserve"> </w:t>
      </w:r>
      <w:r>
        <w:t xml:space="preserve"> </w:t>
      </w:r>
      <w:r w:rsidR="00D56118">
        <w:t>All working deck joints shall be extended through the overlay and sealed according to plan details.</w:t>
      </w:r>
      <w:r w:rsidR="001465C6">
        <w:t xml:space="preserve"> </w:t>
      </w:r>
      <w:r w:rsidR="00D56118">
        <w:t xml:space="preserve"> </w:t>
      </w:r>
      <w:r>
        <w:t>If require</w:t>
      </w:r>
      <w:r w:rsidR="00E810AE">
        <w:t>d</w:t>
      </w:r>
      <w:r>
        <w:t xml:space="preserve"> by the engineer, a minimum of 3 days following opening to traffic, remove loosened aggregates from the deck, expansion joints, and approach pavement.</w:t>
      </w:r>
    </w:p>
    <w:p w14:paraId="77B30DE7" w14:textId="77777777" w:rsidR="00D56118" w:rsidRDefault="00D56118" w:rsidP="003C4654">
      <w:pPr>
        <w:jc w:val="both"/>
      </w:pPr>
    </w:p>
    <w:p w14:paraId="2B295CF7" w14:textId="57FB7BD6" w:rsidR="00D56118" w:rsidRDefault="00F22853" w:rsidP="003C4654">
      <w:pPr>
        <w:jc w:val="both"/>
      </w:pPr>
      <w:r>
        <w:t xml:space="preserve">If </w:t>
      </w:r>
      <w:r w:rsidR="006249B6">
        <w:t>the overlay is not completed within the</w:t>
      </w:r>
      <w:r w:rsidR="00E810AE">
        <w:t xml:space="preserve"> work</w:t>
      </w:r>
      <w:r w:rsidR="006249B6">
        <w:t xml:space="preserve"> </w:t>
      </w:r>
      <w:r w:rsidR="00E810AE">
        <w:t>period</w:t>
      </w:r>
      <w:r>
        <w:t xml:space="preserve"> (including if staged construction is used)</w:t>
      </w:r>
      <w:r w:rsidR="00E810AE">
        <w:t>,</w:t>
      </w:r>
      <w:r w:rsidR="006249B6">
        <w:t xml:space="preserve"> the polyester </w:t>
      </w:r>
      <w:r w:rsidR="00E810AE">
        <w:t xml:space="preserve">polymer </w:t>
      </w:r>
      <w:r w:rsidR="006249B6">
        <w:t xml:space="preserve">overlay edges shall be </w:t>
      </w:r>
      <w:r w:rsidR="00EF6C5E">
        <w:t>properly terminated as specified by the manufacture</w:t>
      </w:r>
      <w:r w:rsidR="00EB7BAD">
        <w:t>r</w:t>
      </w:r>
      <w:r w:rsidR="00EF6C5E">
        <w:t>.</w:t>
      </w:r>
      <w:r w:rsidR="001465C6">
        <w:t xml:space="preserve"> </w:t>
      </w:r>
      <w:r w:rsidR="00E810AE">
        <w:t xml:space="preserve"> </w:t>
      </w:r>
      <w:r w:rsidR="009A63F9">
        <w:t>P</w:t>
      </w:r>
      <w:r w:rsidR="00E810AE">
        <w:t>rime t</w:t>
      </w:r>
      <w:r w:rsidR="00342C96">
        <w:t xml:space="preserve">he </w:t>
      </w:r>
      <w:r w:rsidR="00EF6C5E">
        <w:t>edges</w:t>
      </w:r>
      <w:r w:rsidR="009316C4">
        <w:t xml:space="preserve"> of butt joints </w:t>
      </w:r>
      <w:r w:rsidR="009A63F9">
        <w:t xml:space="preserve">of the previously placed overlay before placing the next portion of the overlay.  </w:t>
      </w:r>
    </w:p>
    <w:p w14:paraId="6CE047EB" w14:textId="77777777" w:rsidR="00A70CD8" w:rsidRDefault="00A70CD8" w:rsidP="003C4654">
      <w:pPr>
        <w:jc w:val="both"/>
      </w:pPr>
    </w:p>
    <w:p w14:paraId="7333FA8E" w14:textId="77777777" w:rsidR="00A70CD8" w:rsidRDefault="00A70CD8" w:rsidP="003C4654">
      <w:pPr>
        <w:jc w:val="both"/>
        <w:rPr>
          <w:b/>
        </w:rPr>
      </w:pPr>
      <w:r w:rsidRPr="00A70CD8">
        <w:rPr>
          <w:b/>
        </w:rPr>
        <w:t>C.3.3</w:t>
      </w:r>
      <w:r w:rsidR="008467A3">
        <w:rPr>
          <w:b/>
        </w:rPr>
        <w:t xml:space="preserve">  </w:t>
      </w:r>
      <w:r>
        <w:rPr>
          <w:b/>
        </w:rPr>
        <w:t>Acceptance Testing</w:t>
      </w:r>
    </w:p>
    <w:p w14:paraId="2C2000EA" w14:textId="77777777" w:rsidR="00430EBE" w:rsidRPr="00430EBE" w:rsidRDefault="008467A3" w:rsidP="003C4654">
      <w:pPr>
        <w:jc w:val="both"/>
        <w:rPr>
          <w:b/>
        </w:rPr>
      </w:pPr>
      <w:r>
        <w:rPr>
          <w:b/>
        </w:rPr>
        <w:t xml:space="preserve">C.3.3.1  </w:t>
      </w:r>
      <w:r w:rsidR="00430EBE">
        <w:rPr>
          <w:b/>
        </w:rPr>
        <w:t>Bond Strength</w:t>
      </w:r>
    </w:p>
    <w:p w14:paraId="62CFD710" w14:textId="500CAD66" w:rsidR="006C67BA" w:rsidRDefault="00B73362" w:rsidP="003C4654">
      <w:pPr>
        <w:jc w:val="both"/>
      </w:pPr>
      <w:r>
        <w:t>Between 24 and 48 hours after overlay placement, conduct two tensile bond tests per pour</w:t>
      </w:r>
      <w:r w:rsidR="00B54432">
        <w:t>, including in the trial overlay area if placed on the bridge deck,</w:t>
      </w:r>
      <w:r>
        <w:t xml:space="preserve"> </w:t>
      </w:r>
      <w:r w:rsidR="006C67BA">
        <w:t>as specified in</w:t>
      </w:r>
      <w:r w:rsidR="00334F1D">
        <w:t xml:space="preserve"> either ASTM C1583</w:t>
      </w:r>
      <w:r>
        <w:t>.</w:t>
      </w:r>
      <w:r w:rsidR="001465C6">
        <w:t xml:space="preserve"> </w:t>
      </w:r>
      <w:r>
        <w:t xml:space="preserve"> </w:t>
      </w:r>
      <w:r w:rsidR="00D342D1">
        <w:t>Drill cores through the overlay and into the exis</w:t>
      </w:r>
      <w:r w:rsidR="006758C5">
        <w:t>ting concrete a m</w:t>
      </w:r>
      <w:r w:rsidR="00430EBE">
        <w:t>inimum of 1/4-</w:t>
      </w:r>
      <w:r w:rsidR="006758C5">
        <w:t>in</w:t>
      </w:r>
      <w:r w:rsidR="00430EBE">
        <w:t xml:space="preserve"> but no more than 1/2-</w:t>
      </w:r>
      <w:r w:rsidR="00D342D1">
        <w:t>in.</w:t>
      </w:r>
      <w:r w:rsidR="004D7E74">
        <w:t xml:space="preserve"> </w:t>
      </w:r>
      <w:r w:rsidR="00391BC5">
        <w:t>A passing test will have a tensile strength greater than 250 psi, or a failure into the su</w:t>
      </w:r>
      <w:r w:rsidR="009A63F9">
        <w:t>bstrate where more than 5</w:t>
      </w:r>
      <w:r w:rsidR="00391BC5">
        <w:t xml:space="preserve">0% of the core area has failed deeper than </w:t>
      </w:r>
      <w:r w:rsidR="00430EBE">
        <w:t>1/4-</w:t>
      </w:r>
      <w:r w:rsidR="00391BC5">
        <w:t>in.</w:t>
      </w:r>
      <w:r w:rsidR="001465C6">
        <w:t xml:space="preserve"> </w:t>
      </w:r>
      <w:r w:rsidR="00391BC5">
        <w:t xml:space="preserve"> </w:t>
      </w:r>
      <w:r w:rsidR="00D342D1">
        <w:t>Immediately patch test core holes by blowing out with oil</w:t>
      </w:r>
      <w:r w:rsidR="004937D6">
        <w:t>- and moisture-</w:t>
      </w:r>
      <w:r w:rsidR="00D342D1">
        <w:t xml:space="preserve">free compressed air and filling with </w:t>
      </w:r>
      <w:r w:rsidR="00F35534">
        <w:t>PPC</w:t>
      </w:r>
      <w:r w:rsidR="00D342D1">
        <w:t xml:space="preserve"> per manufacturer’s instructions.  </w:t>
      </w:r>
    </w:p>
    <w:p w14:paraId="5A7A7AA5" w14:textId="77777777" w:rsidR="00430EBE" w:rsidRDefault="00430EBE" w:rsidP="003C4654">
      <w:pPr>
        <w:jc w:val="both"/>
      </w:pPr>
    </w:p>
    <w:p w14:paraId="27BFF31F" w14:textId="77777777" w:rsidR="00430EBE" w:rsidRDefault="008467A3" w:rsidP="003C4654">
      <w:pPr>
        <w:jc w:val="both"/>
      </w:pPr>
      <w:r>
        <w:rPr>
          <w:b/>
        </w:rPr>
        <w:t xml:space="preserve">C.3.3.2  </w:t>
      </w:r>
      <w:r w:rsidR="00430EBE">
        <w:rPr>
          <w:b/>
        </w:rPr>
        <w:t>Smoothness Quality</w:t>
      </w:r>
    </w:p>
    <w:p w14:paraId="09DEA450" w14:textId="1164F23B" w:rsidR="00430EBE" w:rsidRDefault="00430EBE" w:rsidP="003C4654">
      <w:pPr>
        <w:jc w:val="both"/>
      </w:pPr>
      <w:r>
        <w:t>The finished surface, when tested with a 10</w:t>
      </w:r>
      <w:r w:rsidR="00031172">
        <w:t>-</w:t>
      </w:r>
      <w:r>
        <w:t>foot straightedge, shall not vary by more than 1/4-in.  Any surface that fails to conform to the above tolerance shall be corrected with a diamond grinder.</w:t>
      </w:r>
    </w:p>
    <w:p w14:paraId="3D523F72" w14:textId="77777777" w:rsidR="00430EBE" w:rsidRDefault="00430EBE" w:rsidP="003C4654">
      <w:pPr>
        <w:jc w:val="both"/>
      </w:pPr>
    </w:p>
    <w:p w14:paraId="1758BC9A" w14:textId="77777777" w:rsidR="00430EBE" w:rsidRDefault="008467A3" w:rsidP="003C4654">
      <w:pPr>
        <w:jc w:val="both"/>
      </w:pPr>
      <w:r>
        <w:rPr>
          <w:b/>
        </w:rPr>
        <w:t xml:space="preserve">C.4  </w:t>
      </w:r>
      <w:r w:rsidR="00430EBE">
        <w:rPr>
          <w:b/>
        </w:rPr>
        <w:t>Repair of Polyester Polymer Concrete Overlay</w:t>
      </w:r>
    </w:p>
    <w:p w14:paraId="42481EA9" w14:textId="68AD828B" w:rsidR="00B73362" w:rsidRPr="00A70CD8" w:rsidRDefault="00430EBE" w:rsidP="003C4654">
      <w:pPr>
        <w:jc w:val="both"/>
      </w:pPr>
      <w:r>
        <w:t>Repair all areas determined by the engineer to be unbonded, uncured, segregated, or damaged at no cost to the Department.  Submit repair procedures from the manufacturer to the engineer for</w:t>
      </w:r>
      <w:r w:rsidR="008467A3">
        <w:t xml:space="preserve"> approval.  Absent </w:t>
      </w:r>
      <w:r>
        <w:t>manufactu</w:t>
      </w:r>
      <w:r w:rsidR="00ED4709">
        <w:t>r</w:t>
      </w:r>
      <w:r>
        <w:t>er’s repa</w:t>
      </w:r>
      <w:r w:rsidR="008467A3">
        <w:t xml:space="preserve">ir procedures and with the approval of the engineer, complete repairs </w:t>
      </w:r>
      <w:r w:rsidR="000A70E8">
        <w:t>as follows</w:t>
      </w:r>
      <w:r w:rsidR="008467A3">
        <w:t xml:space="preserve">:  Cut the limits of the area to the top of the concrete; remove the overlay by scarifying, grinding, or other approved methods; shot blast or sand blast and air blast the concrete surface prior to placement of overlay material; and place the </w:t>
      </w:r>
      <w:r w:rsidR="00F35534">
        <w:t>PPC</w:t>
      </w:r>
      <w:r w:rsidR="008467A3">
        <w:t xml:space="preserve"> overlay according to C.3.</w:t>
      </w:r>
    </w:p>
    <w:p w14:paraId="63CD1481" w14:textId="77777777" w:rsidR="004E4D5B" w:rsidRPr="00E0734D" w:rsidRDefault="004E4D5B" w:rsidP="003C4654">
      <w:pPr>
        <w:jc w:val="both"/>
      </w:pPr>
    </w:p>
    <w:p w14:paraId="4D989445" w14:textId="77777777" w:rsidR="004E4D5B" w:rsidRDefault="008467A3" w:rsidP="003C4654">
      <w:pPr>
        <w:keepNext/>
        <w:jc w:val="both"/>
        <w:rPr>
          <w:b/>
          <w:bCs/>
        </w:rPr>
      </w:pPr>
      <w:r>
        <w:rPr>
          <w:b/>
          <w:bCs/>
        </w:rPr>
        <w:t xml:space="preserve">D  </w:t>
      </w:r>
      <w:r w:rsidR="004E4D5B" w:rsidRPr="008467A3">
        <w:rPr>
          <w:b/>
          <w:bCs/>
        </w:rPr>
        <w:t>Measurement</w:t>
      </w:r>
    </w:p>
    <w:p w14:paraId="717CFB1F" w14:textId="3792CDD9" w:rsidR="004E4D5B" w:rsidRPr="00E0734D" w:rsidRDefault="004E4D5B" w:rsidP="003C4654">
      <w:pPr>
        <w:jc w:val="both"/>
      </w:pPr>
      <w:r w:rsidRPr="00E0734D">
        <w:t xml:space="preserve">The department will measure </w:t>
      </w:r>
      <w:r w:rsidR="00721CC8">
        <w:t xml:space="preserve">Polyester </w:t>
      </w:r>
      <w:r w:rsidRPr="00E0734D">
        <w:t xml:space="preserve">Polymer </w:t>
      </w:r>
      <w:r w:rsidR="00721CC8">
        <w:t xml:space="preserve">Concrete </w:t>
      </w:r>
      <w:r w:rsidRPr="00E0734D">
        <w:t xml:space="preserve">Overlay </w:t>
      </w:r>
      <w:r w:rsidR="001465C6">
        <w:t xml:space="preserve">bid item </w:t>
      </w:r>
      <w:r w:rsidRPr="00E0734D">
        <w:t xml:space="preserve">in </w:t>
      </w:r>
      <w:r w:rsidR="00891F2F">
        <w:t>area</w:t>
      </w:r>
      <w:r w:rsidR="00891F2F" w:rsidRPr="00E0734D">
        <w:t xml:space="preserve"> </w:t>
      </w:r>
      <w:r w:rsidRPr="00E0734D">
        <w:t xml:space="preserve">by </w:t>
      </w:r>
      <w:r>
        <w:t xml:space="preserve">the </w:t>
      </w:r>
      <w:r w:rsidR="00891F2F">
        <w:t>square</w:t>
      </w:r>
      <w:r w:rsidR="00891F2F" w:rsidRPr="00E0734D">
        <w:t xml:space="preserve"> </w:t>
      </w:r>
      <w:r w:rsidRPr="00E0734D">
        <w:t xml:space="preserve">yard </w:t>
      </w:r>
      <w:r>
        <w:t>acceptably completed.</w:t>
      </w:r>
      <w:r w:rsidR="00886044">
        <w:t xml:space="preserve">  </w:t>
      </w:r>
      <w:r w:rsidR="00391BC5">
        <w:t xml:space="preserve"> </w:t>
      </w:r>
    </w:p>
    <w:p w14:paraId="62BACF38" w14:textId="77777777" w:rsidR="00581FB1" w:rsidRPr="00E0734D" w:rsidRDefault="00581FB1" w:rsidP="003C4654">
      <w:pPr>
        <w:jc w:val="both"/>
      </w:pPr>
    </w:p>
    <w:p w14:paraId="33AC7408" w14:textId="77777777" w:rsidR="004E4D5B" w:rsidRDefault="008467A3" w:rsidP="003C4654">
      <w:pPr>
        <w:keepNext/>
        <w:jc w:val="both"/>
        <w:rPr>
          <w:b/>
          <w:bCs/>
        </w:rPr>
      </w:pPr>
      <w:r>
        <w:rPr>
          <w:b/>
          <w:bCs/>
        </w:rPr>
        <w:t xml:space="preserve">E  </w:t>
      </w:r>
      <w:r w:rsidR="004E4D5B" w:rsidRPr="008467A3">
        <w:rPr>
          <w:b/>
          <w:bCs/>
        </w:rPr>
        <w:t>Payment</w:t>
      </w:r>
    </w:p>
    <w:p w14:paraId="79EC24D4" w14:textId="77777777" w:rsidR="004E4D5B" w:rsidRDefault="004E4D5B" w:rsidP="003C4654">
      <w:pPr>
        <w:jc w:val="both"/>
      </w:pPr>
      <w:r w:rsidRPr="00E0734D">
        <w:t>The department will pay for measured quantities at the contract unit price under the following bid item:</w:t>
      </w:r>
    </w:p>
    <w:p w14:paraId="734DD59E" w14:textId="77777777" w:rsidR="00581FB1" w:rsidRDefault="00581FB1" w:rsidP="003C4654">
      <w:pPr>
        <w:jc w:val="both"/>
      </w:pPr>
    </w:p>
    <w:tbl>
      <w:tblPr>
        <w:tblW w:w="9153" w:type="dxa"/>
        <w:tblInd w:w="720" w:type="dxa"/>
        <w:tblLook w:val="04A0" w:firstRow="1" w:lastRow="0" w:firstColumn="1" w:lastColumn="0" w:noHBand="0" w:noVBand="1"/>
      </w:tblPr>
      <w:tblGrid>
        <w:gridCol w:w="2070"/>
        <w:gridCol w:w="5573"/>
        <w:gridCol w:w="1510"/>
      </w:tblGrid>
      <w:tr w:rsidR="004E4D5B" w14:paraId="4BB285CC" w14:textId="77777777" w:rsidTr="003C4654">
        <w:tc>
          <w:tcPr>
            <w:tcW w:w="2070" w:type="dxa"/>
          </w:tcPr>
          <w:p w14:paraId="0C09114D" w14:textId="77777777" w:rsidR="004E4D5B" w:rsidRDefault="004E4D5B" w:rsidP="003C4654">
            <w:pPr>
              <w:pStyle w:val="STSP"/>
              <w:ind w:left="72"/>
            </w:pPr>
            <w:r>
              <w:t>ITEM NUMBER</w:t>
            </w:r>
          </w:p>
        </w:tc>
        <w:tc>
          <w:tcPr>
            <w:tcW w:w="5573" w:type="dxa"/>
          </w:tcPr>
          <w:p w14:paraId="52E97709" w14:textId="77777777" w:rsidR="004E4D5B" w:rsidRDefault="004E4D5B" w:rsidP="003C4654">
            <w:pPr>
              <w:pStyle w:val="STSP"/>
              <w:ind w:left="252"/>
            </w:pPr>
            <w:r>
              <w:t>DESCRIPTION</w:t>
            </w:r>
          </w:p>
        </w:tc>
        <w:tc>
          <w:tcPr>
            <w:tcW w:w="1510" w:type="dxa"/>
          </w:tcPr>
          <w:p w14:paraId="618879B9" w14:textId="77777777" w:rsidR="004E4D5B" w:rsidRDefault="004E4D5B" w:rsidP="003C4654">
            <w:pPr>
              <w:pStyle w:val="STSP"/>
              <w:ind w:left="720"/>
            </w:pPr>
            <w:r>
              <w:t>UNIT</w:t>
            </w:r>
          </w:p>
        </w:tc>
      </w:tr>
      <w:tr w:rsidR="004E4D5B" w14:paraId="2278F76D" w14:textId="77777777" w:rsidTr="003C4654">
        <w:tc>
          <w:tcPr>
            <w:tcW w:w="2070" w:type="dxa"/>
          </w:tcPr>
          <w:p w14:paraId="1AC3C9EA" w14:textId="1F17CC06" w:rsidR="004E4D5B" w:rsidRDefault="0054032B" w:rsidP="003C4654">
            <w:pPr>
              <w:pStyle w:val="STSP"/>
              <w:ind w:left="72"/>
            </w:pPr>
            <w:r>
              <w:t>SPV.</w:t>
            </w:r>
            <w:r w:rsidR="00891F2F">
              <w:t>0180</w:t>
            </w:r>
            <w:r w:rsidR="00334F1D">
              <w:t>.xx</w:t>
            </w:r>
          </w:p>
        </w:tc>
        <w:tc>
          <w:tcPr>
            <w:tcW w:w="5573" w:type="dxa"/>
          </w:tcPr>
          <w:p w14:paraId="6425D193" w14:textId="77777777" w:rsidR="004E4D5B" w:rsidRDefault="00721CC8" w:rsidP="003C4654">
            <w:pPr>
              <w:pStyle w:val="STSP"/>
              <w:ind w:left="252"/>
            </w:pPr>
            <w:r>
              <w:t>Polyester</w:t>
            </w:r>
            <w:r w:rsidR="005C0A73">
              <w:t xml:space="preserve"> Polymer Concrete Overlay</w:t>
            </w:r>
          </w:p>
        </w:tc>
        <w:tc>
          <w:tcPr>
            <w:tcW w:w="1510" w:type="dxa"/>
          </w:tcPr>
          <w:p w14:paraId="19E5DDC1" w14:textId="488481ED" w:rsidR="00581FB1" w:rsidRDefault="00891F2F" w:rsidP="003C4654">
            <w:pPr>
              <w:pStyle w:val="STSP"/>
              <w:ind w:left="720"/>
            </w:pPr>
            <w:r>
              <w:t>SY</w:t>
            </w:r>
          </w:p>
        </w:tc>
      </w:tr>
    </w:tbl>
    <w:p w14:paraId="0DE79EFD" w14:textId="48376C26" w:rsidR="00E06BFE" w:rsidRPr="00E06BFE" w:rsidRDefault="00E06BFE" w:rsidP="007C0B67">
      <w:pPr>
        <w:ind w:left="0"/>
        <w:jc w:val="both"/>
        <w:rPr>
          <w:b/>
        </w:rPr>
      </w:pPr>
    </w:p>
    <w:p w14:paraId="112E151C" w14:textId="637608C7" w:rsidR="001465C6" w:rsidRPr="00E0734D" w:rsidRDefault="00E06BFE" w:rsidP="009C0522">
      <w:pPr>
        <w:jc w:val="both"/>
      </w:pPr>
      <w:r w:rsidRPr="00E0734D">
        <w:t>Payment</w:t>
      </w:r>
      <w:r>
        <w:t xml:space="preserve"> for Polyester P</w:t>
      </w:r>
      <w:r w:rsidR="00391BC5">
        <w:t>olymer Concrete Overlay</w:t>
      </w:r>
      <w:r w:rsidRPr="00E0734D">
        <w:t xml:space="preserve"> is full compensation for preparing the surface; for tensile bond testing; </w:t>
      </w:r>
      <w:r w:rsidR="00A56312">
        <w:t xml:space="preserve">for creating the transitional area, </w:t>
      </w:r>
      <w:r w:rsidR="00373E74">
        <w:t xml:space="preserve">for </w:t>
      </w:r>
      <w:r w:rsidR="005A4FCD">
        <w:t xml:space="preserve">acceptably </w:t>
      </w:r>
      <w:r w:rsidR="00AB1EBB">
        <w:t xml:space="preserve">completing </w:t>
      </w:r>
      <w:r w:rsidR="005A4FCD">
        <w:t>trial overlay(s)</w:t>
      </w:r>
      <w:r w:rsidR="00373E74">
        <w:t>;</w:t>
      </w:r>
      <w:r w:rsidR="005A4FCD">
        <w:t xml:space="preserve"> </w:t>
      </w:r>
      <w:r>
        <w:t>providing, hauling, placing, finishing, curing, and protecting the overlay; for cleanup;</w:t>
      </w:r>
      <w:r w:rsidRPr="00E0734D">
        <w:t xml:space="preserve"> for sweeping/vacuuming an</w:t>
      </w:r>
      <w:r>
        <w:t>d disposing of excess and waste materials; and for the presences of the manufacturer’s representative on the site.</w:t>
      </w:r>
    </w:p>
    <w:p w14:paraId="2FEC8154" w14:textId="77777777" w:rsidR="00E06BFE" w:rsidRDefault="00E06BFE" w:rsidP="003C4654">
      <w:pPr>
        <w:jc w:val="both"/>
      </w:pPr>
    </w:p>
    <w:p w14:paraId="1F2A4929" w14:textId="22B81F84" w:rsidR="009C0522" w:rsidRPr="009C0522" w:rsidRDefault="009C0522" w:rsidP="009C0522">
      <w:pPr>
        <w:jc w:val="both"/>
      </w:pPr>
      <w:r w:rsidRPr="009C0522">
        <w:t xml:space="preserve">When specified on the plans, the department will pay separately for </w:t>
      </w:r>
      <w:r w:rsidR="00F60B4C">
        <w:t>Cleaning</w:t>
      </w:r>
      <w:r w:rsidRPr="009C0522">
        <w:t xml:space="preserve"> Decks.</w:t>
      </w:r>
    </w:p>
    <w:p w14:paraId="344574F9" w14:textId="65E85488" w:rsidR="004665ED" w:rsidRPr="00E0734D" w:rsidRDefault="00334F1D" w:rsidP="003C4654">
      <w:pPr>
        <w:jc w:val="both"/>
      </w:pPr>
      <w:r>
        <w:t>SPV.0180.xx (</w:t>
      </w:r>
      <w:r w:rsidR="004E67B5">
        <w:t>20211</w:t>
      </w:r>
      <w:r w:rsidR="004E67B5">
        <w:t>202</w:t>
      </w:r>
      <w:r>
        <w:t>)</w:t>
      </w:r>
    </w:p>
    <w:sectPr w:rsidR="004665ED" w:rsidRPr="00E0734D" w:rsidSect="003C4654">
      <w:pgSz w:w="12240" w:h="15840"/>
      <w:pgMar w:top="1440" w:right="144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2D9CAC" w14:textId="77777777" w:rsidR="0055642E" w:rsidRDefault="0055642E">
      <w:r>
        <w:separator/>
      </w:r>
    </w:p>
    <w:p w14:paraId="31E04A87" w14:textId="77777777" w:rsidR="0055642E" w:rsidRDefault="0055642E"/>
    <w:p w14:paraId="0497E0EF" w14:textId="77777777" w:rsidR="0055642E" w:rsidRDefault="0055642E"/>
    <w:p w14:paraId="519CD3AA" w14:textId="77777777" w:rsidR="0055642E" w:rsidRDefault="0055642E"/>
    <w:p w14:paraId="08710C5C" w14:textId="77777777" w:rsidR="0055642E" w:rsidRDefault="0055642E"/>
    <w:p w14:paraId="73F3D29A" w14:textId="77777777" w:rsidR="0055642E" w:rsidRDefault="0055642E"/>
    <w:p w14:paraId="6BE34C16" w14:textId="77777777" w:rsidR="0055642E" w:rsidRDefault="0055642E"/>
    <w:p w14:paraId="09EAE8CC" w14:textId="77777777" w:rsidR="0055642E" w:rsidRDefault="0055642E"/>
  </w:endnote>
  <w:endnote w:type="continuationSeparator" w:id="0">
    <w:p w14:paraId="3635F521" w14:textId="77777777" w:rsidR="0055642E" w:rsidRDefault="0055642E">
      <w:r>
        <w:continuationSeparator/>
      </w:r>
    </w:p>
    <w:p w14:paraId="4F09C017" w14:textId="77777777" w:rsidR="0055642E" w:rsidRDefault="0055642E"/>
    <w:p w14:paraId="441B08AC" w14:textId="77777777" w:rsidR="0055642E" w:rsidRDefault="0055642E"/>
    <w:p w14:paraId="5C2891EA" w14:textId="77777777" w:rsidR="0055642E" w:rsidRDefault="0055642E"/>
    <w:p w14:paraId="1B729946" w14:textId="77777777" w:rsidR="0055642E" w:rsidRDefault="0055642E"/>
    <w:p w14:paraId="166ECF0D" w14:textId="77777777" w:rsidR="0055642E" w:rsidRDefault="0055642E"/>
    <w:p w14:paraId="3409D72D" w14:textId="77777777" w:rsidR="0055642E" w:rsidRDefault="0055642E"/>
    <w:p w14:paraId="7890AEB0" w14:textId="77777777" w:rsidR="0055642E" w:rsidRDefault="005564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FE0DC" w14:textId="77777777" w:rsidR="0055642E" w:rsidRDefault="0055642E">
      <w:r>
        <w:separator/>
      </w:r>
    </w:p>
    <w:p w14:paraId="40025DF8" w14:textId="77777777" w:rsidR="0055642E" w:rsidRDefault="0055642E"/>
    <w:p w14:paraId="35DBCB49" w14:textId="77777777" w:rsidR="0055642E" w:rsidRDefault="0055642E"/>
    <w:p w14:paraId="4C128157" w14:textId="77777777" w:rsidR="0055642E" w:rsidRDefault="0055642E"/>
    <w:p w14:paraId="7CF8CDEE" w14:textId="77777777" w:rsidR="0055642E" w:rsidRDefault="0055642E"/>
    <w:p w14:paraId="70010FCE" w14:textId="77777777" w:rsidR="0055642E" w:rsidRDefault="0055642E"/>
    <w:p w14:paraId="73C844D9" w14:textId="77777777" w:rsidR="0055642E" w:rsidRDefault="0055642E"/>
    <w:p w14:paraId="65063224" w14:textId="77777777" w:rsidR="0055642E" w:rsidRDefault="0055642E"/>
  </w:footnote>
  <w:footnote w:type="continuationSeparator" w:id="0">
    <w:p w14:paraId="593ECBDE" w14:textId="77777777" w:rsidR="0055642E" w:rsidRDefault="0055642E">
      <w:r>
        <w:continuationSeparator/>
      </w:r>
    </w:p>
    <w:p w14:paraId="591FF803" w14:textId="77777777" w:rsidR="0055642E" w:rsidRDefault="0055642E"/>
    <w:p w14:paraId="3A7A684D" w14:textId="77777777" w:rsidR="0055642E" w:rsidRDefault="0055642E"/>
    <w:p w14:paraId="05002A51" w14:textId="77777777" w:rsidR="0055642E" w:rsidRDefault="0055642E"/>
    <w:p w14:paraId="72641ED1" w14:textId="77777777" w:rsidR="0055642E" w:rsidRDefault="0055642E"/>
    <w:p w14:paraId="05FF3D60" w14:textId="77777777" w:rsidR="0055642E" w:rsidRDefault="0055642E"/>
    <w:p w14:paraId="2BE252AF" w14:textId="77777777" w:rsidR="0055642E" w:rsidRDefault="0055642E"/>
    <w:p w14:paraId="248AD001" w14:textId="77777777" w:rsidR="0055642E" w:rsidRDefault="005564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B21A4"/>
    <w:multiLevelType w:val="hybridMultilevel"/>
    <w:tmpl w:val="7C74C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AF01F0"/>
    <w:multiLevelType w:val="hybridMultilevel"/>
    <w:tmpl w:val="CDF01514"/>
    <w:lvl w:ilvl="0" w:tplc="E55216CA">
      <w:start w:val="1"/>
      <w:numFmt w:val="decimal"/>
      <w:pStyle w:val="1Heading1"/>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 w15:restartNumberingAfterBreak="0">
    <w:nsid w:val="59C63890"/>
    <w:multiLevelType w:val="hybridMultilevel"/>
    <w:tmpl w:val="3EDE44B6"/>
    <w:lvl w:ilvl="0" w:tplc="5288A722">
      <w:start w:val="1"/>
      <w:numFmt w:val="lowerLetter"/>
      <w:pStyle w:val="ListParagraph"/>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C17278F"/>
    <w:multiLevelType w:val="hybridMultilevel"/>
    <w:tmpl w:val="034E3830"/>
    <w:lvl w:ilvl="0" w:tplc="55864F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25B6CC6"/>
    <w:multiLevelType w:val="hybridMultilevel"/>
    <w:tmpl w:val="74AA0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845"/>
    <w:rsid w:val="00002E61"/>
    <w:rsid w:val="00011A38"/>
    <w:rsid w:val="00013638"/>
    <w:rsid w:val="000236A1"/>
    <w:rsid w:val="00024ECE"/>
    <w:rsid w:val="00025F98"/>
    <w:rsid w:val="000278B0"/>
    <w:rsid w:val="00031172"/>
    <w:rsid w:val="000336E1"/>
    <w:rsid w:val="000443E3"/>
    <w:rsid w:val="00044827"/>
    <w:rsid w:val="000458A6"/>
    <w:rsid w:val="00057EE8"/>
    <w:rsid w:val="0006236D"/>
    <w:rsid w:val="0006267D"/>
    <w:rsid w:val="00066DCE"/>
    <w:rsid w:val="00067275"/>
    <w:rsid w:val="0007709A"/>
    <w:rsid w:val="000772DD"/>
    <w:rsid w:val="00085D86"/>
    <w:rsid w:val="00096007"/>
    <w:rsid w:val="000A70E8"/>
    <w:rsid w:val="000B00D3"/>
    <w:rsid w:val="000B2D96"/>
    <w:rsid w:val="000B6EC1"/>
    <w:rsid w:val="000B780E"/>
    <w:rsid w:val="000D4996"/>
    <w:rsid w:val="000E10ED"/>
    <w:rsid w:val="000E37E9"/>
    <w:rsid w:val="000F3BF9"/>
    <w:rsid w:val="000F47DD"/>
    <w:rsid w:val="000F7383"/>
    <w:rsid w:val="00103A73"/>
    <w:rsid w:val="00111E80"/>
    <w:rsid w:val="0011750B"/>
    <w:rsid w:val="001207EE"/>
    <w:rsid w:val="00120863"/>
    <w:rsid w:val="001227D0"/>
    <w:rsid w:val="00123312"/>
    <w:rsid w:val="00125F1A"/>
    <w:rsid w:val="001266AD"/>
    <w:rsid w:val="00127329"/>
    <w:rsid w:val="00145314"/>
    <w:rsid w:val="00145EFA"/>
    <w:rsid w:val="001465C6"/>
    <w:rsid w:val="00151086"/>
    <w:rsid w:val="00152401"/>
    <w:rsid w:val="00152B6F"/>
    <w:rsid w:val="00157F82"/>
    <w:rsid w:val="00172D0B"/>
    <w:rsid w:val="0018075E"/>
    <w:rsid w:val="00182A83"/>
    <w:rsid w:val="00186A0E"/>
    <w:rsid w:val="00195747"/>
    <w:rsid w:val="001A6D7E"/>
    <w:rsid w:val="001B0816"/>
    <w:rsid w:val="001B0E2D"/>
    <w:rsid w:val="001B1180"/>
    <w:rsid w:val="001B4FDA"/>
    <w:rsid w:val="001B59AC"/>
    <w:rsid w:val="001B6526"/>
    <w:rsid w:val="001B79E4"/>
    <w:rsid w:val="001C4CCC"/>
    <w:rsid w:val="001E6884"/>
    <w:rsid w:val="001E7C66"/>
    <w:rsid w:val="001F0EE7"/>
    <w:rsid w:val="001F110B"/>
    <w:rsid w:val="00205814"/>
    <w:rsid w:val="0021142A"/>
    <w:rsid w:val="002125F9"/>
    <w:rsid w:val="00220156"/>
    <w:rsid w:val="0022087C"/>
    <w:rsid w:val="00220C15"/>
    <w:rsid w:val="002250C5"/>
    <w:rsid w:val="00230163"/>
    <w:rsid w:val="00230AB2"/>
    <w:rsid w:val="00231A51"/>
    <w:rsid w:val="00232B4C"/>
    <w:rsid w:val="002330A0"/>
    <w:rsid w:val="002359DE"/>
    <w:rsid w:val="0023782A"/>
    <w:rsid w:val="002410AA"/>
    <w:rsid w:val="00241AC1"/>
    <w:rsid w:val="00243E5C"/>
    <w:rsid w:val="00247880"/>
    <w:rsid w:val="00262ED6"/>
    <w:rsid w:val="00265BC2"/>
    <w:rsid w:val="00274177"/>
    <w:rsid w:val="002914A0"/>
    <w:rsid w:val="00294371"/>
    <w:rsid w:val="002965B1"/>
    <w:rsid w:val="002B49C8"/>
    <w:rsid w:val="002B4A57"/>
    <w:rsid w:val="002B5B45"/>
    <w:rsid w:val="002B7D6B"/>
    <w:rsid w:val="002C4750"/>
    <w:rsid w:val="002C7A6B"/>
    <w:rsid w:val="002D61F0"/>
    <w:rsid w:val="002D6C6E"/>
    <w:rsid w:val="002E2855"/>
    <w:rsid w:val="002F0EA0"/>
    <w:rsid w:val="002F116F"/>
    <w:rsid w:val="00300A79"/>
    <w:rsid w:val="003166B1"/>
    <w:rsid w:val="0031698C"/>
    <w:rsid w:val="00316F8D"/>
    <w:rsid w:val="00320A0D"/>
    <w:rsid w:val="00323052"/>
    <w:rsid w:val="00333901"/>
    <w:rsid w:val="00334F1D"/>
    <w:rsid w:val="00335842"/>
    <w:rsid w:val="00335EBD"/>
    <w:rsid w:val="00340346"/>
    <w:rsid w:val="00342C96"/>
    <w:rsid w:val="00347266"/>
    <w:rsid w:val="00351171"/>
    <w:rsid w:val="003543EA"/>
    <w:rsid w:val="00355C6E"/>
    <w:rsid w:val="0035681E"/>
    <w:rsid w:val="00361CA5"/>
    <w:rsid w:val="00365FE0"/>
    <w:rsid w:val="003677A3"/>
    <w:rsid w:val="00367DF0"/>
    <w:rsid w:val="00373E74"/>
    <w:rsid w:val="00374705"/>
    <w:rsid w:val="003765C8"/>
    <w:rsid w:val="003841BC"/>
    <w:rsid w:val="00387174"/>
    <w:rsid w:val="00387FED"/>
    <w:rsid w:val="0039061C"/>
    <w:rsid w:val="00391BC5"/>
    <w:rsid w:val="00395E6D"/>
    <w:rsid w:val="003A0549"/>
    <w:rsid w:val="003A28D5"/>
    <w:rsid w:val="003A3057"/>
    <w:rsid w:val="003A444B"/>
    <w:rsid w:val="003A5CD0"/>
    <w:rsid w:val="003B065A"/>
    <w:rsid w:val="003B77D2"/>
    <w:rsid w:val="003C0E28"/>
    <w:rsid w:val="003C4654"/>
    <w:rsid w:val="003D1F52"/>
    <w:rsid w:val="003E24AE"/>
    <w:rsid w:val="003E665E"/>
    <w:rsid w:val="003F1173"/>
    <w:rsid w:val="003F23A0"/>
    <w:rsid w:val="003F3343"/>
    <w:rsid w:val="003F524B"/>
    <w:rsid w:val="003F545F"/>
    <w:rsid w:val="00400D6F"/>
    <w:rsid w:val="00403A9B"/>
    <w:rsid w:val="00410AFC"/>
    <w:rsid w:val="004166A9"/>
    <w:rsid w:val="004222ED"/>
    <w:rsid w:val="00426230"/>
    <w:rsid w:val="004263C9"/>
    <w:rsid w:val="0042679B"/>
    <w:rsid w:val="00430EBE"/>
    <w:rsid w:val="00441092"/>
    <w:rsid w:val="0044180E"/>
    <w:rsid w:val="00443091"/>
    <w:rsid w:val="00447AED"/>
    <w:rsid w:val="00452758"/>
    <w:rsid w:val="004573A1"/>
    <w:rsid w:val="00464564"/>
    <w:rsid w:val="004665ED"/>
    <w:rsid w:val="004742B2"/>
    <w:rsid w:val="004765F9"/>
    <w:rsid w:val="00477CD1"/>
    <w:rsid w:val="004830E3"/>
    <w:rsid w:val="004937D6"/>
    <w:rsid w:val="004A05C1"/>
    <w:rsid w:val="004A1944"/>
    <w:rsid w:val="004B0B01"/>
    <w:rsid w:val="004B5EFF"/>
    <w:rsid w:val="004C3629"/>
    <w:rsid w:val="004C6142"/>
    <w:rsid w:val="004C644F"/>
    <w:rsid w:val="004D0984"/>
    <w:rsid w:val="004D12AF"/>
    <w:rsid w:val="004D5961"/>
    <w:rsid w:val="004D5E39"/>
    <w:rsid w:val="004D7E74"/>
    <w:rsid w:val="004E4B14"/>
    <w:rsid w:val="004E4D5B"/>
    <w:rsid w:val="004E4D93"/>
    <w:rsid w:val="004E6702"/>
    <w:rsid w:val="004E67B5"/>
    <w:rsid w:val="004F266C"/>
    <w:rsid w:val="004F3006"/>
    <w:rsid w:val="00500DE5"/>
    <w:rsid w:val="00500FCC"/>
    <w:rsid w:val="00501E35"/>
    <w:rsid w:val="00503A7F"/>
    <w:rsid w:val="00525EFC"/>
    <w:rsid w:val="00527E92"/>
    <w:rsid w:val="00536463"/>
    <w:rsid w:val="00537AF3"/>
    <w:rsid w:val="00537FCB"/>
    <w:rsid w:val="0054032B"/>
    <w:rsid w:val="00542140"/>
    <w:rsid w:val="00546295"/>
    <w:rsid w:val="00546FB9"/>
    <w:rsid w:val="00547BD8"/>
    <w:rsid w:val="00554081"/>
    <w:rsid w:val="00555A70"/>
    <w:rsid w:val="0055642E"/>
    <w:rsid w:val="00562C78"/>
    <w:rsid w:val="005631CE"/>
    <w:rsid w:val="00576561"/>
    <w:rsid w:val="00577E82"/>
    <w:rsid w:val="005811F8"/>
    <w:rsid w:val="00581FB1"/>
    <w:rsid w:val="00582F0F"/>
    <w:rsid w:val="00587136"/>
    <w:rsid w:val="0058761D"/>
    <w:rsid w:val="005937EC"/>
    <w:rsid w:val="005A4FCD"/>
    <w:rsid w:val="005A6128"/>
    <w:rsid w:val="005B0B8B"/>
    <w:rsid w:val="005B3656"/>
    <w:rsid w:val="005C0A73"/>
    <w:rsid w:val="005D0ED0"/>
    <w:rsid w:val="005E1738"/>
    <w:rsid w:val="005E2D52"/>
    <w:rsid w:val="005E38FB"/>
    <w:rsid w:val="005E7933"/>
    <w:rsid w:val="005F53CF"/>
    <w:rsid w:val="005F59D4"/>
    <w:rsid w:val="005F78B5"/>
    <w:rsid w:val="00602515"/>
    <w:rsid w:val="00603649"/>
    <w:rsid w:val="0061036E"/>
    <w:rsid w:val="006224F3"/>
    <w:rsid w:val="006249B6"/>
    <w:rsid w:val="0064764C"/>
    <w:rsid w:val="006502CD"/>
    <w:rsid w:val="006540DC"/>
    <w:rsid w:val="00655241"/>
    <w:rsid w:val="00657D22"/>
    <w:rsid w:val="00670F70"/>
    <w:rsid w:val="006758C5"/>
    <w:rsid w:val="00684612"/>
    <w:rsid w:val="006847E8"/>
    <w:rsid w:val="006860B1"/>
    <w:rsid w:val="00692C7A"/>
    <w:rsid w:val="006A043A"/>
    <w:rsid w:val="006A10C8"/>
    <w:rsid w:val="006A1386"/>
    <w:rsid w:val="006A2DFF"/>
    <w:rsid w:val="006A7193"/>
    <w:rsid w:val="006B384C"/>
    <w:rsid w:val="006B3B29"/>
    <w:rsid w:val="006C0710"/>
    <w:rsid w:val="006C0EBB"/>
    <w:rsid w:val="006C1DF8"/>
    <w:rsid w:val="006C67BA"/>
    <w:rsid w:val="006C6D4E"/>
    <w:rsid w:val="006C6DDD"/>
    <w:rsid w:val="006C7E23"/>
    <w:rsid w:val="006D3530"/>
    <w:rsid w:val="006D3C56"/>
    <w:rsid w:val="006D41D6"/>
    <w:rsid w:val="006D57BF"/>
    <w:rsid w:val="006E1DB0"/>
    <w:rsid w:val="007027E4"/>
    <w:rsid w:val="00704D09"/>
    <w:rsid w:val="00705025"/>
    <w:rsid w:val="007059D6"/>
    <w:rsid w:val="007141FB"/>
    <w:rsid w:val="00715498"/>
    <w:rsid w:val="00715CF7"/>
    <w:rsid w:val="00721CC8"/>
    <w:rsid w:val="00721D1C"/>
    <w:rsid w:val="0072217D"/>
    <w:rsid w:val="0072254C"/>
    <w:rsid w:val="00727883"/>
    <w:rsid w:val="0073182C"/>
    <w:rsid w:val="00731BF1"/>
    <w:rsid w:val="0074177B"/>
    <w:rsid w:val="00751FA8"/>
    <w:rsid w:val="00753C17"/>
    <w:rsid w:val="00754E2E"/>
    <w:rsid w:val="0075740B"/>
    <w:rsid w:val="00760766"/>
    <w:rsid w:val="00762B54"/>
    <w:rsid w:val="00765579"/>
    <w:rsid w:val="007709EA"/>
    <w:rsid w:val="00772952"/>
    <w:rsid w:val="00784143"/>
    <w:rsid w:val="00787567"/>
    <w:rsid w:val="00793827"/>
    <w:rsid w:val="00793DF2"/>
    <w:rsid w:val="00797556"/>
    <w:rsid w:val="007A04EB"/>
    <w:rsid w:val="007A1B22"/>
    <w:rsid w:val="007A1B69"/>
    <w:rsid w:val="007A21CD"/>
    <w:rsid w:val="007A7E6E"/>
    <w:rsid w:val="007B041C"/>
    <w:rsid w:val="007B29E7"/>
    <w:rsid w:val="007B59E7"/>
    <w:rsid w:val="007B5D49"/>
    <w:rsid w:val="007B5FAB"/>
    <w:rsid w:val="007C08A7"/>
    <w:rsid w:val="007C0B67"/>
    <w:rsid w:val="007C13D7"/>
    <w:rsid w:val="007C4180"/>
    <w:rsid w:val="007D0014"/>
    <w:rsid w:val="007D42DA"/>
    <w:rsid w:val="007E07E8"/>
    <w:rsid w:val="007E39BC"/>
    <w:rsid w:val="007E5058"/>
    <w:rsid w:val="007E5A96"/>
    <w:rsid w:val="007E7E3F"/>
    <w:rsid w:val="007F0776"/>
    <w:rsid w:val="007F1E1E"/>
    <w:rsid w:val="007F3ED6"/>
    <w:rsid w:val="008042B3"/>
    <w:rsid w:val="00807140"/>
    <w:rsid w:val="00811599"/>
    <w:rsid w:val="00813A39"/>
    <w:rsid w:val="00817A13"/>
    <w:rsid w:val="00825677"/>
    <w:rsid w:val="0083147A"/>
    <w:rsid w:val="008344D4"/>
    <w:rsid w:val="008357C1"/>
    <w:rsid w:val="00845A6C"/>
    <w:rsid w:val="008467A3"/>
    <w:rsid w:val="00850C06"/>
    <w:rsid w:val="00852177"/>
    <w:rsid w:val="0085380C"/>
    <w:rsid w:val="00855791"/>
    <w:rsid w:val="00866AF2"/>
    <w:rsid w:val="00871566"/>
    <w:rsid w:val="00876529"/>
    <w:rsid w:val="00885302"/>
    <w:rsid w:val="008853BD"/>
    <w:rsid w:val="00886044"/>
    <w:rsid w:val="00886481"/>
    <w:rsid w:val="00891F2F"/>
    <w:rsid w:val="00892537"/>
    <w:rsid w:val="00896936"/>
    <w:rsid w:val="008A4E2F"/>
    <w:rsid w:val="008A63D9"/>
    <w:rsid w:val="008B0B7F"/>
    <w:rsid w:val="008B73BE"/>
    <w:rsid w:val="008C04A5"/>
    <w:rsid w:val="008D1290"/>
    <w:rsid w:val="008D1850"/>
    <w:rsid w:val="008D4A11"/>
    <w:rsid w:val="008F0740"/>
    <w:rsid w:val="008F1781"/>
    <w:rsid w:val="008F43FB"/>
    <w:rsid w:val="00901F40"/>
    <w:rsid w:val="00902EE7"/>
    <w:rsid w:val="00907CC5"/>
    <w:rsid w:val="0091635D"/>
    <w:rsid w:val="00920C5D"/>
    <w:rsid w:val="00923EC7"/>
    <w:rsid w:val="00930D7B"/>
    <w:rsid w:val="009316C4"/>
    <w:rsid w:val="00941458"/>
    <w:rsid w:val="00941965"/>
    <w:rsid w:val="009428CF"/>
    <w:rsid w:val="009526BA"/>
    <w:rsid w:val="00953455"/>
    <w:rsid w:val="00957818"/>
    <w:rsid w:val="0096095E"/>
    <w:rsid w:val="00962708"/>
    <w:rsid w:val="00971CD7"/>
    <w:rsid w:val="0097385B"/>
    <w:rsid w:val="0097460A"/>
    <w:rsid w:val="00980C30"/>
    <w:rsid w:val="0098115F"/>
    <w:rsid w:val="00981FD8"/>
    <w:rsid w:val="00996A16"/>
    <w:rsid w:val="00996AAF"/>
    <w:rsid w:val="009A0F8E"/>
    <w:rsid w:val="009A63F9"/>
    <w:rsid w:val="009A7140"/>
    <w:rsid w:val="009B4081"/>
    <w:rsid w:val="009B6F91"/>
    <w:rsid w:val="009C0522"/>
    <w:rsid w:val="009C2824"/>
    <w:rsid w:val="009C66FD"/>
    <w:rsid w:val="009C755B"/>
    <w:rsid w:val="009D70FE"/>
    <w:rsid w:val="009E1B0F"/>
    <w:rsid w:val="009E2AB8"/>
    <w:rsid w:val="009E6A3E"/>
    <w:rsid w:val="009F39F5"/>
    <w:rsid w:val="00A04A9E"/>
    <w:rsid w:val="00A05F9F"/>
    <w:rsid w:val="00A10B11"/>
    <w:rsid w:val="00A135C0"/>
    <w:rsid w:val="00A23220"/>
    <w:rsid w:val="00A263FD"/>
    <w:rsid w:val="00A27F93"/>
    <w:rsid w:val="00A41BC7"/>
    <w:rsid w:val="00A510AB"/>
    <w:rsid w:val="00A52D3C"/>
    <w:rsid w:val="00A546E4"/>
    <w:rsid w:val="00A56312"/>
    <w:rsid w:val="00A6170F"/>
    <w:rsid w:val="00A70CD8"/>
    <w:rsid w:val="00A75A9D"/>
    <w:rsid w:val="00A82955"/>
    <w:rsid w:val="00A85603"/>
    <w:rsid w:val="00A9062B"/>
    <w:rsid w:val="00A90C90"/>
    <w:rsid w:val="00AA0C93"/>
    <w:rsid w:val="00AA1CB2"/>
    <w:rsid w:val="00AA2604"/>
    <w:rsid w:val="00AA416E"/>
    <w:rsid w:val="00AA4500"/>
    <w:rsid w:val="00AA4C45"/>
    <w:rsid w:val="00AA52E4"/>
    <w:rsid w:val="00AA6DBF"/>
    <w:rsid w:val="00AA75D3"/>
    <w:rsid w:val="00AA7C9A"/>
    <w:rsid w:val="00AB1507"/>
    <w:rsid w:val="00AB1EBB"/>
    <w:rsid w:val="00AB437C"/>
    <w:rsid w:val="00AC0392"/>
    <w:rsid w:val="00AC57A3"/>
    <w:rsid w:val="00AC6664"/>
    <w:rsid w:val="00AC6EB5"/>
    <w:rsid w:val="00AC7403"/>
    <w:rsid w:val="00AE07C9"/>
    <w:rsid w:val="00AE49E6"/>
    <w:rsid w:val="00AE4FFE"/>
    <w:rsid w:val="00B050CB"/>
    <w:rsid w:val="00B06DFC"/>
    <w:rsid w:val="00B1152E"/>
    <w:rsid w:val="00B119CD"/>
    <w:rsid w:val="00B13944"/>
    <w:rsid w:val="00B14122"/>
    <w:rsid w:val="00B2278A"/>
    <w:rsid w:val="00B227B3"/>
    <w:rsid w:val="00B267BF"/>
    <w:rsid w:val="00B3234A"/>
    <w:rsid w:val="00B3581A"/>
    <w:rsid w:val="00B46612"/>
    <w:rsid w:val="00B47427"/>
    <w:rsid w:val="00B519F8"/>
    <w:rsid w:val="00B52B02"/>
    <w:rsid w:val="00B54432"/>
    <w:rsid w:val="00B54782"/>
    <w:rsid w:val="00B60805"/>
    <w:rsid w:val="00B73362"/>
    <w:rsid w:val="00B76118"/>
    <w:rsid w:val="00B824DD"/>
    <w:rsid w:val="00B83D4D"/>
    <w:rsid w:val="00B83EF4"/>
    <w:rsid w:val="00B9074D"/>
    <w:rsid w:val="00B9254C"/>
    <w:rsid w:val="00B97DBF"/>
    <w:rsid w:val="00BA55F9"/>
    <w:rsid w:val="00BB325F"/>
    <w:rsid w:val="00BB478F"/>
    <w:rsid w:val="00BB642D"/>
    <w:rsid w:val="00BB7C64"/>
    <w:rsid w:val="00BC2655"/>
    <w:rsid w:val="00BC7014"/>
    <w:rsid w:val="00BD5BDA"/>
    <w:rsid w:val="00BD74F1"/>
    <w:rsid w:val="00BE2267"/>
    <w:rsid w:val="00BE71EF"/>
    <w:rsid w:val="00BF4077"/>
    <w:rsid w:val="00C01673"/>
    <w:rsid w:val="00C06ECD"/>
    <w:rsid w:val="00C1293C"/>
    <w:rsid w:val="00C13FBE"/>
    <w:rsid w:val="00C16F23"/>
    <w:rsid w:val="00C277AF"/>
    <w:rsid w:val="00C30098"/>
    <w:rsid w:val="00C32CCC"/>
    <w:rsid w:val="00C3784B"/>
    <w:rsid w:val="00C4101F"/>
    <w:rsid w:val="00C427F8"/>
    <w:rsid w:val="00C579CB"/>
    <w:rsid w:val="00C606F5"/>
    <w:rsid w:val="00C60E38"/>
    <w:rsid w:val="00C645D0"/>
    <w:rsid w:val="00C65E7B"/>
    <w:rsid w:val="00C74B5A"/>
    <w:rsid w:val="00C77D72"/>
    <w:rsid w:val="00C77FB0"/>
    <w:rsid w:val="00C85C00"/>
    <w:rsid w:val="00C86C23"/>
    <w:rsid w:val="00C904CC"/>
    <w:rsid w:val="00C94BB9"/>
    <w:rsid w:val="00C95778"/>
    <w:rsid w:val="00CA390C"/>
    <w:rsid w:val="00CA60B2"/>
    <w:rsid w:val="00CA68AC"/>
    <w:rsid w:val="00CA76D6"/>
    <w:rsid w:val="00CB1336"/>
    <w:rsid w:val="00CC0F63"/>
    <w:rsid w:val="00CC13AD"/>
    <w:rsid w:val="00CC1A7B"/>
    <w:rsid w:val="00CC2373"/>
    <w:rsid w:val="00CD75C9"/>
    <w:rsid w:val="00CD7644"/>
    <w:rsid w:val="00CE4773"/>
    <w:rsid w:val="00CF455C"/>
    <w:rsid w:val="00CF7845"/>
    <w:rsid w:val="00CF7853"/>
    <w:rsid w:val="00D02B1A"/>
    <w:rsid w:val="00D03222"/>
    <w:rsid w:val="00D14F11"/>
    <w:rsid w:val="00D168E3"/>
    <w:rsid w:val="00D20079"/>
    <w:rsid w:val="00D20C64"/>
    <w:rsid w:val="00D217D0"/>
    <w:rsid w:val="00D23F17"/>
    <w:rsid w:val="00D27914"/>
    <w:rsid w:val="00D31C47"/>
    <w:rsid w:val="00D32F04"/>
    <w:rsid w:val="00D342D1"/>
    <w:rsid w:val="00D34AE9"/>
    <w:rsid w:val="00D34F0E"/>
    <w:rsid w:val="00D4421D"/>
    <w:rsid w:val="00D5162E"/>
    <w:rsid w:val="00D56118"/>
    <w:rsid w:val="00D626A3"/>
    <w:rsid w:val="00D65599"/>
    <w:rsid w:val="00D75D9B"/>
    <w:rsid w:val="00D83FF1"/>
    <w:rsid w:val="00D877A7"/>
    <w:rsid w:val="00D91078"/>
    <w:rsid w:val="00DA0E76"/>
    <w:rsid w:val="00DA62C8"/>
    <w:rsid w:val="00DB46C3"/>
    <w:rsid w:val="00DB4C2E"/>
    <w:rsid w:val="00DB72D5"/>
    <w:rsid w:val="00DC1DE8"/>
    <w:rsid w:val="00DC37ED"/>
    <w:rsid w:val="00DD182D"/>
    <w:rsid w:val="00DD4419"/>
    <w:rsid w:val="00DD7166"/>
    <w:rsid w:val="00DE6363"/>
    <w:rsid w:val="00DF1E41"/>
    <w:rsid w:val="00DF29E7"/>
    <w:rsid w:val="00DF4ACF"/>
    <w:rsid w:val="00DF523B"/>
    <w:rsid w:val="00E026FA"/>
    <w:rsid w:val="00E06BFE"/>
    <w:rsid w:val="00E07B0C"/>
    <w:rsid w:val="00E10695"/>
    <w:rsid w:val="00E12B20"/>
    <w:rsid w:val="00E2113A"/>
    <w:rsid w:val="00E23173"/>
    <w:rsid w:val="00E238A8"/>
    <w:rsid w:val="00E273BC"/>
    <w:rsid w:val="00E27EBA"/>
    <w:rsid w:val="00E3217B"/>
    <w:rsid w:val="00E327AC"/>
    <w:rsid w:val="00E43C88"/>
    <w:rsid w:val="00E54765"/>
    <w:rsid w:val="00E6058A"/>
    <w:rsid w:val="00E651F2"/>
    <w:rsid w:val="00E67ED9"/>
    <w:rsid w:val="00E7202F"/>
    <w:rsid w:val="00E8054B"/>
    <w:rsid w:val="00E810AE"/>
    <w:rsid w:val="00E8274B"/>
    <w:rsid w:val="00E83473"/>
    <w:rsid w:val="00E84D93"/>
    <w:rsid w:val="00E91EB3"/>
    <w:rsid w:val="00E92745"/>
    <w:rsid w:val="00E95D39"/>
    <w:rsid w:val="00EB0480"/>
    <w:rsid w:val="00EB0B8F"/>
    <w:rsid w:val="00EB76E1"/>
    <w:rsid w:val="00EB7BAD"/>
    <w:rsid w:val="00EB7CAB"/>
    <w:rsid w:val="00EC10E6"/>
    <w:rsid w:val="00EC6979"/>
    <w:rsid w:val="00ED307D"/>
    <w:rsid w:val="00ED4709"/>
    <w:rsid w:val="00ED78F0"/>
    <w:rsid w:val="00EE244F"/>
    <w:rsid w:val="00EE6185"/>
    <w:rsid w:val="00EE7D31"/>
    <w:rsid w:val="00EF6C5E"/>
    <w:rsid w:val="00EF7CE9"/>
    <w:rsid w:val="00F03E31"/>
    <w:rsid w:val="00F10D1D"/>
    <w:rsid w:val="00F12ADF"/>
    <w:rsid w:val="00F21A55"/>
    <w:rsid w:val="00F22853"/>
    <w:rsid w:val="00F300B8"/>
    <w:rsid w:val="00F314E5"/>
    <w:rsid w:val="00F34A43"/>
    <w:rsid w:val="00F35534"/>
    <w:rsid w:val="00F47013"/>
    <w:rsid w:val="00F6025D"/>
    <w:rsid w:val="00F60396"/>
    <w:rsid w:val="00F60B4C"/>
    <w:rsid w:val="00F61B5D"/>
    <w:rsid w:val="00F658D1"/>
    <w:rsid w:val="00F66B69"/>
    <w:rsid w:val="00F7098D"/>
    <w:rsid w:val="00F779B0"/>
    <w:rsid w:val="00F8173B"/>
    <w:rsid w:val="00F86575"/>
    <w:rsid w:val="00F86E4F"/>
    <w:rsid w:val="00F8751E"/>
    <w:rsid w:val="00F87AAD"/>
    <w:rsid w:val="00FA1ADE"/>
    <w:rsid w:val="00FA440B"/>
    <w:rsid w:val="00FB4647"/>
    <w:rsid w:val="00FB52FF"/>
    <w:rsid w:val="00FB7F17"/>
    <w:rsid w:val="00FC577F"/>
    <w:rsid w:val="00FC63D7"/>
    <w:rsid w:val="00FC7256"/>
    <w:rsid w:val="00FC7A54"/>
    <w:rsid w:val="00FD2D81"/>
    <w:rsid w:val="00FE1487"/>
    <w:rsid w:val="00FE54E2"/>
    <w:rsid w:val="00FE5DE5"/>
    <w:rsid w:val="00FF1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321C0"/>
  <w15:docId w15:val="{2BBA85E1-D61D-46FC-801C-52F0FB520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463"/>
    <w:pPr>
      <w:spacing w:after="0" w:line="240" w:lineRule="auto"/>
      <w:ind w:left="720"/>
    </w:pPr>
    <w:rPr>
      <w:rFonts w:ascii="Times New Roman" w:hAnsi="Times New Roman" w:cs="Times New Roman"/>
      <w:sz w:val="24"/>
      <w:szCs w:val="24"/>
    </w:rPr>
  </w:style>
  <w:style w:type="paragraph" w:styleId="Heading1">
    <w:name w:val="heading 1"/>
    <w:basedOn w:val="Normal"/>
    <w:next w:val="Normal"/>
    <w:link w:val="Heading1Char"/>
    <w:uiPriority w:val="9"/>
    <w:qFormat/>
    <w:rsid w:val="003230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230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2305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0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230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23052"/>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323052"/>
    <w:pPr>
      <w:outlineLvl w:val="9"/>
    </w:pPr>
  </w:style>
  <w:style w:type="paragraph" w:styleId="BalloonText">
    <w:name w:val="Balloon Text"/>
    <w:basedOn w:val="Normal"/>
    <w:link w:val="BalloonTextChar"/>
    <w:uiPriority w:val="99"/>
    <w:semiHidden/>
    <w:unhideWhenUsed/>
    <w:rsid w:val="00323052"/>
    <w:rPr>
      <w:rFonts w:ascii="Tahoma" w:hAnsi="Tahoma" w:cs="Tahoma"/>
      <w:sz w:val="16"/>
      <w:szCs w:val="16"/>
    </w:rPr>
  </w:style>
  <w:style w:type="character" w:customStyle="1" w:styleId="BalloonTextChar">
    <w:name w:val="Balloon Text Char"/>
    <w:basedOn w:val="DefaultParagraphFont"/>
    <w:link w:val="BalloonText"/>
    <w:uiPriority w:val="99"/>
    <w:semiHidden/>
    <w:rsid w:val="00323052"/>
    <w:rPr>
      <w:rFonts w:ascii="Tahoma" w:hAnsi="Tahoma" w:cs="Tahoma"/>
      <w:sz w:val="16"/>
      <w:szCs w:val="16"/>
    </w:rPr>
  </w:style>
  <w:style w:type="paragraph" w:styleId="Header">
    <w:name w:val="header"/>
    <w:basedOn w:val="Normal"/>
    <w:link w:val="HeaderChar"/>
    <w:uiPriority w:val="99"/>
    <w:unhideWhenUsed/>
    <w:rsid w:val="00323052"/>
    <w:pPr>
      <w:tabs>
        <w:tab w:val="center" w:pos="4680"/>
        <w:tab w:val="right" w:pos="9360"/>
      </w:tabs>
    </w:pPr>
  </w:style>
  <w:style w:type="character" w:customStyle="1" w:styleId="HeaderChar">
    <w:name w:val="Header Char"/>
    <w:basedOn w:val="DefaultParagraphFont"/>
    <w:link w:val="Header"/>
    <w:uiPriority w:val="99"/>
    <w:rsid w:val="00323052"/>
  </w:style>
  <w:style w:type="paragraph" w:styleId="Footer">
    <w:name w:val="footer"/>
    <w:basedOn w:val="Normal"/>
    <w:link w:val="FooterChar"/>
    <w:uiPriority w:val="99"/>
    <w:unhideWhenUsed/>
    <w:rsid w:val="00323052"/>
    <w:pPr>
      <w:tabs>
        <w:tab w:val="center" w:pos="4680"/>
        <w:tab w:val="right" w:pos="9360"/>
      </w:tabs>
    </w:pPr>
  </w:style>
  <w:style w:type="character" w:customStyle="1" w:styleId="FooterChar">
    <w:name w:val="Footer Char"/>
    <w:basedOn w:val="DefaultParagraphFont"/>
    <w:link w:val="Footer"/>
    <w:uiPriority w:val="99"/>
    <w:rsid w:val="00323052"/>
  </w:style>
  <w:style w:type="paragraph" w:styleId="TOC1">
    <w:name w:val="toc 1"/>
    <w:basedOn w:val="Normal"/>
    <w:next w:val="Normal"/>
    <w:autoRedefine/>
    <w:uiPriority w:val="39"/>
    <w:unhideWhenUsed/>
    <w:qFormat/>
    <w:rsid w:val="00323052"/>
    <w:pPr>
      <w:tabs>
        <w:tab w:val="left" w:pos="720"/>
        <w:tab w:val="right" w:leader="dot" w:pos="9288"/>
      </w:tabs>
      <w:ind w:hanging="720"/>
    </w:pPr>
  </w:style>
  <w:style w:type="paragraph" w:customStyle="1" w:styleId="1Heading1">
    <w:name w:val="1 Heading 1"/>
    <w:basedOn w:val="Normal"/>
    <w:qFormat/>
    <w:rsid w:val="00323052"/>
    <w:pPr>
      <w:numPr>
        <w:numId w:val="1"/>
      </w:numPr>
      <w:tabs>
        <w:tab w:val="center" w:pos="4680"/>
        <w:tab w:val="right" w:pos="9270"/>
      </w:tabs>
      <w:spacing w:before="240" w:after="240"/>
      <w:ind w:hanging="720"/>
      <w:outlineLvl w:val="0"/>
    </w:pPr>
    <w:rPr>
      <w:b/>
      <w:sz w:val="28"/>
      <w:szCs w:val="28"/>
    </w:rPr>
  </w:style>
  <w:style w:type="character" w:styleId="Hyperlink">
    <w:name w:val="Hyperlink"/>
    <w:basedOn w:val="DefaultParagraphFont"/>
    <w:uiPriority w:val="99"/>
    <w:unhideWhenUsed/>
    <w:rsid w:val="00323052"/>
    <w:rPr>
      <w:color w:val="0000FF" w:themeColor="hyperlink"/>
      <w:u w:val="single"/>
    </w:rPr>
  </w:style>
  <w:style w:type="character" w:styleId="PlaceholderText">
    <w:name w:val="Placeholder Text"/>
    <w:basedOn w:val="DefaultParagraphFont"/>
    <w:uiPriority w:val="99"/>
    <w:semiHidden/>
    <w:rsid w:val="00323052"/>
    <w:rPr>
      <w:color w:val="808080"/>
    </w:rPr>
  </w:style>
  <w:style w:type="paragraph" w:styleId="TOC2">
    <w:name w:val="toc 2"/>
    <w:basedOn w:val="Normal"/>
    <w:next w:val="Normal"/>
    <w:autoRedefine/>
    <w:uiPriority w:val="39"/>
    <w:unhideWhenUsed/>
    <w:qFormat/>
    <w:rsid w:val="00323052"/>
    <w:pPr>
      <w:spacing w:after="100"/>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323052"/>
    <w:pPr>
      <w:spacing w:after="100"/>
      <w:ind w:left="440"/>
    </w:pPr>
    <w:rPr>
      <w:rFonts w:asciiTheme="minorHAnsi" w:eastAsiaTheme="minorEastAsia" w:hAnsiTheme="minorHAnsi" w:cstheme="minorBidi"/>
      <w:sz w:val="22"/>
      <w:szCs w:val="22"/>
    </w:rPr>
  </w:style>
  <w:style w:type="table" w:styleId="TableGrid">
    <w:name w:val="Table Grid"/>
    <w:basedOn w:val="TableNormal"/>
    <w:uiPriority w:val="59"/>
    <w:rsid w:val="003230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semiHidden/>
    <w:rsid w:val="00323052"/>
    <w:pPr>
      <w:widowControl w:val="0"/>
      <w:overflowPunct w:val="0"/>
      <w:autoSpaceDE w:val="0"/>
      <w:autoSpaceDN w:val="0"/>
      <w:adjustRightInd w:val="0"/>
      <w:ind w:left="0"/>
      <w:textAlignment w:val="baseline"/>
    </w:pPr>
    <w:rPr>
      <w:rFonts w:ascii="Courier New" w:eastAsia="Times New Roman" w:hAnsi="Courier New"/>
      <w:szCs w:val="20"/>
    </w:rPr>
  </w:style>
  <w:style w:type="character" w:customStyle="1" w:styleId="EndnoteTextChar">
    <w:name w:val="Endnote Text Char"/>
    <w:basedOn w:val="DefaultParagraphFont"/>
    <w:link w:val="EndnoteText"/>
    <w:semiHidden/>
    <w:rsid w:val="00323052"/>
    <w:rPr>
      <w:rFonts w:ascii="Courier New" w:eastAsia="Times New Roman" w:hAnsi="Courier New" w:cs="Times New Roman"/>
      <w:sz w:val="24"/>
      <w:szCs w:val="20"/>
    </w:rPr>
  </w:style>
  <w:style w:type="paragraph" w:styleId="BodyTextIndent">
    <w:name w:val="Body Text Indent"/>
    <w:basedOn w:val="Normal"/>
    <w:link w:val="BodyTextIndentChar"/>
    <w:semiHidden/>
    <w:rsid w:val="00323052"/>
    <w:pPr>
      <w:suppressAutoHyphens/>
      <w:overflowPunct w:val="0"/>
      <w:autoSpaceDE w:val="0"/>
      <w:autoSpaceDN w:val="0"/>
      <w:adjustRightInd w:val="0"/>
      <w:ind w:left="1440"/>
      <w:textAlignment w:val="baseline"/>
    </w:pPr>
    <w:rPr>
      <w:rFonts w:eastAsia="Times New Roman"/>
      <w:spacing w:val="-2"/>
      <w:szCs w:val="20"/>
    </w:rPr>
  </w:style>
  <w:style w:type="character" w:customStyle="1" w:styleId="BodyTextIndentChar">
    <w:name w:val="Body Text Indent Char"/>
    <w:basedOn w:val="DefaultParagraphFont"/>
    <w:link w:val="BodyTextIndent"/>
    <w:semiHidden/>
    <w:rsid w:val="00323052"/>
    <w:rPr>
      <w:rFonts w:ascii="Times New Roman" w:eastAsia="Times New Roman" w:hAnsi="Times New Roman" w:cs="Times New Roman"/>
      <w:spacing w:val="-2"/>
      <w:sz w:val="24"/>
      <w:szCs w:val="20"/>
    </w:rPr>
  </w:style>
  <w:style w:type="paragraph" w:styleId="TOC4">
    <w:name w:val="toc 4"/>
    <w:basedOn w:val="Normal"/>
    <w:next w:val="Normal"/>
    <w:autoRedefine/>
    <w:uiPriority w:val="39"/>
    <w:unhideWhenUsed/>
    <w:rsid w:val="00323052"/>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323052"/>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23052"/>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23052"/>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23052"/>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23052"/>
    <w:pPr>
      <w:spacing w:after="100" w:line="276" w:lineRule="auto"/>
      <w:ind w:left="1760"/>
    </w:pPr>
    <w:rPr>
      <w:rFonts w:asciiTheme="minorHAnsi" w:eastAsiaTheme="minorEastAsia" w:hAnsiTheme="minorHAnsi" w:cstheme="minorBidi"/>
      <w:sz w:val="22"/>
      <w:szCs w:val="22"/>
    </w:rPr>
  </w:style>
  <w:style w:type="table" w:styleId="TableGrid1">
    <w:name w:val="Table Grid 1"/>
    <w:basedOn w:val="TableNormal"/>
    <w:uiPriority w:val="99"/>
    <w:semiHidden/>
    <w:unhideWhenUsed/>
    <w:rsid w:val="00323052"/>
    <w:pPr>
      <w:spacing w:after="0" w:line="240" w:lineRule="auto"/>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SP">
    <w:name w:val="STSP"/>
    <w:qFormat/>
    <w:rsid w:val="00323052"/>
    <w:pPr>
      <w:tabs>
        <w:tab w:val="left" w:pos="432"/>
      </w:tabs>
      <w:spacing w:after="0" w:line="240" w:lineRule="auto"/>
    </w:pPr>
    <w:rPr>
      <w:rFonts w:ascii="Times New Roman" w:hAnsi="Times New Roman" w:cs="Times New Roman"/>
      <w:sz w:val="24"/>
      <w:szCs w:val="24"/>
    </w:rPr>
  </w:style>
  <w:style w:type="paragraph" w:styleId="ListParagraph">
    <w:name w:val="List Paragraph"/>
    <w:basedOn w:val="Normal"/>
    <w:autoRedefine/>
    <w:uiPriority w:val="1"/>
    <w:qFormat/>
    <w:rsid w:val="005C0A73"/>
    <w:pPr>
      <w:numPr>
        <w:numId w:val="2"/>
      </w:numPr>
      <w:ind w:left="720" w:hanging="720"/>
    </w:pPr>
  </w:style>
  <w:style w:type="paragraph" w:customStyle="1" w:styleId="Table">
    <w:name w:val="Table"/>
    <w:basedOn w:val="Normal"/>
    <w:qFormat/>
    <w:rsid w:val="00323052"/>
    <w:pPr>
      <w:tabs>
        <w:tab w:val="left" w:pos="1080"/>
      </w:tabs>
      <w:ind w:left="0"/>
      <w:jc w:val="center"/>
    </w:pPr>
  </w:style>
  <w:style w:type="paragraph" w:customStyle="1" w:styleId="STSPtable">
    <w:name w:val="STSP table"/>
    <w:basedOn w:val="Normal"/>
    <w:autoRedefine/>
    <w:qFormat/>
    <w:rsid w:val="00323052"/>
    <w:pPr>
      <w:ind w:left="0"/>
    </w:pPr>
    <w:rPr>
      <w:szCs w:val="22"/>
    </w:rPr>
  </w:style>
  <w:style w:type="paragraph" w:customStyle="1" w:styleId="A1D9AE0EDD0D4BAB997406ED3F06795E">
    <w:name w:val="A1D9AE0EDD0D4BAB997406ED3F06795E"/>
    <w:rsid w:val="00323052"/>
    <w:pPr>
      <w:spacing w:after="0" w:line="240" w:lineRule="auto"/>
      <w:ind w:left="720"/>
      <w:jc w:val="both"/>
    </w:pPr>
    <w:rPr>
      <w:rFonts w:ascii="Times New Roman" w:hAnsi="Times New Roman" w:cs="Times New Roman"/>
      <w:sz w:val="24"/>
      <w:szCs w:val="24"/>
    </w:rPr>
  </w:style>
  <w:style w:type="paragraph" w:customStyle="1" w:styleId="B93007DD0F324B7DB72D9FA9B1F24D7B">
    <w:name w:val="B93007DD0F324B7DB72D9FA9B1F24D7B"/>
    <w:rsid w:val="00323052"/>
    <w:pPr>
      <w:spacing w:after="0" w:line="240" w:lineRule="auto"/>
      <w:ind w:left="720"/>
      <w:jc w:val="both"/>
    </w:pPr>
    <w:rPr>
      <w:rFonts w:ascii="Times New Roman" w:hAnsi="Times New Roman" w:cs="Times New Roman"/>
      <w:sz w:val="24"/>
      <w:szCs w:val="24"/>
    </w:rPr>
  </w:style>
  <w:style w:type="paragraph" w:customStyle="1" w:styleId="CPSOO">
    <w:name w:val="CP(SOO)"/>
    <w:rsid w:val="00323052"/>
    <w:pPr>
      <w:spacing w:after="0" w:line="240" w:lineRule="auto"/>
      <w:ind w:left="720"/>
      <w:jc w:val="both"/>
    </w:pPr>
    <w:rPr>
      <w:rFonts w:ascii="Times New Roman" w:hAnsi="Times New Roman" w:cs="Times New Roman"/>
      <w:sz w:val="24"/>
      <w:szCs w:val="24"/>
    </w:rPr>
  </w:style>
  <w:style w:type="paragraph" w:customStyle="1" w:styleId="WSOR">
    <w:name w:val="WSOR"/>
    <w:rsid w:val="00323052"/>
    <w:pPr>
      <w:spacing w:after="0" w:line="240" w:lineRule="auto"/>
      <w:ind w:left="720"/>
      <w:jc w:val="both"/>
    </w:pPr>
    <w:rPr>
      <w:rFonts w:ascii="Times New Roman" w:hAnsi="Times New Roman" w:cs="Times New Roman"/>
      <w:sz w:val="24"/>
      <w:szCs w:val="24"/>
    </w:rPr>
  </w:style>
  <w:style w:type="paragraph" w:customStyle="1" w:styleId="2322C9ADFCF84300ADDEFEFBA1908336">
    <w:name w:val="2322C9ADFCF84300ADDEFEFBA1908336"/>
    <w:rsid w:val="00323052"/>
    <w:rPr>
      <w:rFonts w:eastAsiaTheme="minorEastAsia"/>
    </w:rPr>
  </w:style>
  <w:style w:type="paragraph" w:customStyle="1" w:styleId="37978794A508472DBB3A432144301700">
    <w:name w:val="37978794A508472DBB3A432144301700"/>
    <w:rsid w:val="00323052"/>
    <w:rPr>
      <w:rFonts w:eastAsiaTheme="minorEastAsia"/>
    </w:rPr>
  </w:style>
  <w:style w:type="paragraph" w:customStyle="1" w:styleId="C956BD1E7A2E4D1F890ACE855A2EAB56">
    <w:name w:val="C956BD1E7A2E4D1F890ACE855A2EAB56"/>
    <w:rsid w:val="00323052"/>
    <w:rPr>
      <w:rFonts w:eastAsiaTheme="minorEastAsia"/>
    </w:rPr>
  </w:style>
  <w:style w:type="paragraph" w:customStyle="1" w:styleId="DE58DA66AF7E468CA46182A11A57763E">
    <w:name w:val="DE58DA66AF7E468CA46182A11A57763E"/>
    <w:rsid w:val="00323052"/>
    <w:pPr>
      <w:spacing w:after="0" w:line="240" w:lineRule="auto"/>
      <w:ind w:left="720"/>
      <w:jc w:val="both"/>
    </w:pPr>
    <w:rPr>
      <w:rFonts w:ascii="Times New Roman" w:hAnsi="Times New Roman" w:cs="Times New Roman"/>
      <w:sz w:val="24"/>
      <w:szCs w:val="24"/>
    </w:rPr>
  </w:style>
  <w:style w:type="paragraph" w:customStyle="1" w:styleId="1A15FD23FF1D4BC8B1DD59573ADD2F6D">
    <w:name w:val="1A15FD23FF1D4BC8B1DD59573ADD2F6D"/>
    <w:rsid w:val="00323052"/>
    <w:rPr>
      <w:rFonts w:eastAsiaTheme="minorEastAsia"/>
    </w:rPr>
  </w:style>
  <w:style w:type="paragraph" w:customStyle="1" w:styleId="0DBBE456B26B4E0E894E8B4F2CE91906">
    <w:name w:val="0DBBE456B26B4E0E894E8B4F2CE91906"/>
    <w:rsid w:val="00323052"/>
    <w:rPr>
      <w:rFonts w:eastAsiaTheme="minorEastAsia"/>
    </w:rPr>
  </w:style>
  <w:style w:type="paragraph" w:customStyle="1" w:styleId="C789B62CC101425A8A4F93BC8A0CA74B1">
    <w:name w:val="C789B62CC101425A8A4F93BC8A0CA74B1"/>
    <w:rsid w:val="00323052"/>
    <w:pPr>
      <w:spacing w:after="0" w:line="240" w:lineRule="auto"/>
      <w:ind w:left="720"/>
      <w:jc w:val="both"/>
    </w:pPr>
    <w:rPr>
      <w:rFonts w:ascii="Times New Roman" w:hAnsi="Times New Roman" w:cs="Times New Roman"/>
      <w:sz w:val="24"/>
      <w:szCs w:val="24"/>
    </w:rPr>
  </w:style>
  <w:style w:type="paragraph" w:customStyle="1" w:styleId="20267066448341E0AB52E65F953AF01C">
    <w:name w:val="20267066448341E0AB52E65F953AF01C"/>
    <w:rsid w:val="00323052"/>
    <w:rPr>
      <w:rFonts w:eastAsiaTheme="minorEastAsia"/>
    </w:rPr>
  </w:style>
  <w:style w:type="paragraph" w:customStyle="1" w:styleId="BB5D76B9B5534200B108089539FE5E82">
    <w:name w:val="BB5D76B9B5534200B108089539FE5E82"/>
    <w:rsid w:val="00323052"/>
    <w:rPr>
      <w:rFonts w:eastAsiaTheme="minorEastAsia"/>
    </w:rPr>
  </w:style>
  <w:style w:type="paragraph" w:customStyle="1" w:styleId="D652C8D8A2D14A04A159F3B48801C0E9">
    <w:name w:val="D652C8D8A2D14A04A159F3B48801C0E9"/>
    <w:rsid w:val="00323052"/>
    <w:pPr>
      <w:spacing w:after="0" w:line="240" w:lineRule="auto"/>
      <w:ind w:left="720"/>
      <w:jc w:val="both"/>
    </w:pPr>
    <w:rPr>
      <w:rFonts w:ascii="Times New Roman" w:hAnsi="Times New Roman" w:cs="Times New Roman"/>
      <w:sz w:val="24"/>
      <w:szCs w:val="24"/>
    </w:rPr>
  </w:style>
  <w:style w:type="paragraph" w:customStyle="1" w:styleId="9A7FE57504B54B5AB10C3E413353124F">
    <w:name w:val="9A7FE57504B54B5AB10C3E413353124F"/>
    <w:rsid w:val="00323052"/>
    <w:rPr>
      <w:rFonts w:eastAsiaTheme="minorEastAsia"/>
    </w:rPr>
  </w:style>
  <w:style w:type="paragraph" w:customStyle="1" w:styleId="607B824B7BA94295BFA10AB514CC59F1">
    <w:name w:val="607B824B7BA94295BFA10AB514CC59F1"/>
    <w:rsid w:val="00323052"/>
    <w:rPr>
      <w:rFonts w:eastAsiaTheme="minorEastAsia"/>
    </w:rPr>
  </w:style>
  <w:style w:type="paragraph" w:customStyle="1" w:styleId="2938C46E98C149D4ABAD043302847F40">
    <w:name w:val="2938C46E98C149D4ABAD043302847F40"/>
    <w:rsid w:val="00323052"/>
    <w:rPr>
      <w:rFonts w:eastAsiaTheme="minorEastAsia"/>
    </w:rPr>
  </w:style>
  <w:style w:type="paragraph" w:customStyle="1" w:styleId="DEED8D72DD17488EA9267ED3F20CDE56">
    <w:name w:val="DEED8D72DD17488EA9267ED3F20CDE56"/>
    <w:rsid w:val="00323052"/>
    <w:rPr>
      <w:rFonts w:eastAsiaTheme="minorEastAsia"/>
    </w:rPr>
  </w:style>
  <w:style w:type="paragraph" w:customStyle="1" w:styleId="5C6532C90ADD4F22AC9B32B34F0EA330">
    <w:name w:val="5C6532C90ADD4F22AC9B32B34F0EA330"/>
    <w:rsid w:val="00323052"/>
    <w:rPr>
      <w:rFonts w:eastAsiaTheme="minorEastAsia"/>
    </w:rPr>
  </w:style>
  <w:style w:type="paragraph" w:customStyle="1" w:styleId="UPRR">
    <w:name w:val="UPRR"/>
    <w:rsid w:val="00323052"/>
    <w:rPr>
      <w:rFonts w:eastAsiaTheme="minorEastAsia"/>
    </w:rPr>
  </w:style>
  <w:style w:type="paragraph" w:customStyle="1" w:styleId="UPR">
    <w:name w:val="UPR"/>
    <w:rsid w:val="00323052"/>
    <w:rPr>
      <w:rFonts w:eastAsiaTheme="minorEastAsia"/>
    </w:rPr>
  </w:style>
  <w:style w:type="paragraph" w:styleId="DocumentMap">
    <w:name w:val="Document Map"/>
    <w:basedOn w:val="Normal"/>
    <w:link w:val="DocumentMapChar"/>
    <w:uiPriority w:val="99"/>
    <w:semiHidden/>
    <w:unhideWhenUsed/>
    <w:rsid w:val="00323052"/>
    <w:rPr>
      <w:rFonts w:ascii="Tahoma" w:hAnsi="Tahoma" w:cs="Tahoma"/>
      <w:sz w:val="16"/>
      <w:szCs w:val="16"/>
    </w:rPr>
  </w:style>
  <w:style w:type="character" w:customStyle="1" w:styleId="DocumentMapChar">
    <w:name w:val="Document Map Char"/>
    <w:basedOn w:val="DefaultParagraphFont"/>
    <w:link w:val="DocumentMap"/>
    <w:uiPriority w:val="99"/>
    <w:semiHidden/>
    <w:rsid w:val="00323052"/>
    <w:rPr>
      <w:rFonts w:ascii="Tahoma" w:hAnsi="Tahoma" w:cs="Tahoma"/>
      <w:sz w:val="16"/>
      <w:szCs w:val="16"/>
    </w:rPr>
  </w:style>
  <w:style w:type="paragraph" w:customStyle="1" w:styleId="ssBidItem">
    <w:name w:val="ssBidItem"/>
    <w:basedOn w:val="Normal"/>
    <w:rsid w:val="00705025"/>
    <w:pPr>
      <w:tabs>
        <w:tab w:val="left" w:pos="2448"/>
        <w:tab w:val="right" w:pos="9648"/>
      </w:tabs>
      <w:spacing w:after="60"/>
      <w:ind w:left="288"/>
    </w:pPr>
    <w:rPr>
      <w:rFonts w:ascii="Arial" w:eastAsia="Times New Roman" w:hAnsi="Arial"/>
      <w:sz w:val="18"/>
      <w:szCs w:val="20"/>
    </w:rPr>
  </w:style>
  <w:style w:type="character" w:styleId="CommentReference">
    <w:name w:val="annotation reference"/>
    <w:basedOn w:val="DefaultParagraphFont"/>
    <w:uiPriority w:val="99"/>
    <w:semiHidden/>
    <w:unhideWhenUsed/>
    <w:rsid w:val="000F47DD"/>
    <w:rPr>
      <w:sz w:val="16"/>
      <w:szCs w:val="16"/>
    </w:rPr>
  </w:style>
  <w:style w:type="paragraph" w:styleId="CommentText">
    <w:name w:val="annotation text"/>
    <w:basedOn w:val="Normal"/>
    <w:link w:val="CommentTextChar"/>
    <w:uiPriority w:val="99"/>
    <w:semiHidden/>
    <w:unhideWhenUsed/>
    <w:rsid w:val="000F47DD"/>
    <w:rPr>
      <w:sz w:val="20"/>
      <w:szCs w:val="20"/>
    </w:rPr>
  </w:style>
  <w:style w:type="character" w:customStyle="1" w:styleId="CommentTextChar">
    <w:name w:val="Comment Text Char"/>
    <w:basedOn w:val="DefaultParagraphFont"/>
    <w:link w:val="CommentText"/>
    <w:uiPriority w:val="99"/>
    <w:semiHidden/>
    <w:rsid w:val="000F47D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47DD"/>
    <w:rPr>
      <w:b/>
      <w:bCs/>
    </w:rPr>
  </w:style>
  <w:style w:type="character" w:customStyle="1" w:styleId="CommentSubjectChar">
    <w:name w:val="Comment Subject Char"/>
    <w:basedOn w:val="CommentTextChar"/>
    <w:link w:val="CommentSubject"/>
    <w:uiPriority w:val="99"/>
    <w:semiHidden/>
    <w:rsid w:val="000F47DD"/>
    <w:rPr>
      <w:rFonts w:ascii="Times New Roman" w:hAnsi="Times New Roman" w:cs="Times New Roman"/>
      <w:b/>
      <w:bCs/>
      <w:sz w:val="20"/>
      <w:szCs w:val="20"/>
    </w:rPr>
  </w:style>
  <w:style w:type="paragraph" w:styleId="Revision">
    <w:name w:val="Revision"/>
    <w:hidden/>
    <w:uiPriority w:val="99"/>
    <w:semiHidden/>
    <w:rsid w:val="00C32CCC"/>
    <w:pPr>
      <w:spacing w:after="0" w:line="240" w:lineRule="auto"/>
    </w:pPr>
    <w:rPr>
      <w:rFonts w:ascii="Times New Roman" w:hAnsi="Times New Roman" w:cs="Times New Roman"/>
      <w:sz w:val="24"/>
      <w:szCs w:val="24"/>
    </w:rPr>
  </w:style>
  <w:style w:type="paragraph" w:customStyle="1" w:styleId="Default">
    <w:name w:val="Default"/>
    <w:rsid w:val="0027417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tads\Desktop\stsp%20509-03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6CC466-E20D-4140-9E06-88EB6B4C3A33}">
  <ds:schemaRefs>
    <ds:schemaRef ds:uri="http://schemas.microsoft.com/sharepoint/v3/contenttype/forms"/>
  </ds:schemaRefs>
</ds:datastoreItem>
</file>

<file path=customXml/itemProps2.xml><?xml version="1.0" encoding="utf-8"?>
<ds:datastoreItem xmlns:ds="http://schemas.openxmlformats.org/officeDocument/2006/customXml" ds:itemID="{0EE1931C-A774-4246-ACE4-CB3F839D52AD}"/>
</file>

<file path=customXml/itemProps3.xml><?xml version="1.0" encoding="utf-8"?>
<ds:datastoreItem xmlns:ds="http://schemas.openxmlformats.org/officeDocument/2006/customXml" ds:itemID="{D3C1DE44-9D8B-4097-9677-042607135460}">
  <ds:schemaRefs>
    <ds:schemaRef ds:uri="http://schemas.openxmlformats.org/officeDocument/2006/bibliography"/>
  </ds:schemaRefs>
</ds:datastoreItem>
</file>

<file path=customXml/itemProps4.xml><?xml version="1.0" encoding="utf-8"?>
<ds:datastoreItem xmlns:ds="http://schemas.openxmlformats.org/officeDocument/2006/customXml" ds:itemID="{652DDEB8-257D-4EFC-99F3-50D59D7D4B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stsp 509-030.dotm</Template>
  <TotalTime>1870</TotalTime>
  <Pages>10</Pages>
  <Words>3692</Words>
  <Characters>21046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STSP Template</vt:lpstr>
    </vt:vector>
  </TitlesOfParts>
  <Company>Wisconsin Department of Transportation</Company>
  <LinksUpToDate>false</LinksUpToDate>
  <CharactersWithSpaces>24689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STSP Template</dc:title>
  <dc:subject>Template for building special provisions</dc:subject>
  <dc:creator>ditads</dc:creator>
  <cp:keywords>STSP, template, special provisions, building blocks</cp:keywords>
  <cp:lastModifiedBy>Bonk, Aaron M - DOT</cp:lastModifiedBy>
  <cp:revision>25</cp:revision>
  <cp:lastPrinted>2019-04-05T15:40:00Z</cp:lastPrinted>
  <dcterms:created xsi:type="dcterms:W3CDTF">2021-07-06T15:24:00Z</dcterms:created>
  <dcterms:modified xsi:type="dcterms:W3CDTF">2021-12-02T18:04:00Z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