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4B" w:rsidRPr="007D10DF" w:rsidRDefault="00ED4A11">
      <w:pPr>
        <w:keepLines/>
        <w:tabs>
          <w:tab w:val="right" w:pos="10483"/>
        </w:tabs>
        <w:jc w:val="center"/>
        <w:rPr>
          <w:b/>
          <w:noProof w:val="0"/>
          <w:color w:val="FF0000"/>
          <w:sz w:val="22"/>
        </w:rPr>
      </w:pPr>
      <w:r>
        <w:rPr>
          <w:b/>
          <w:noProof w:val="0"/>
          <w:sz w:val="22"/>
        </w:rPr>
        <w:t xml:space="preserve">READS </w:t>
      </w:r>
      <w:r w:rsidR="00B155BB">
        <w:rPr>
          <w:b/>
          <w:noProof w:val="0"/>
          <w:sz w:val="22"/>
        </w:rPr>
        <w:t>RELOCATION PARCEL CHECK</w:t>
      </w:r>
      <w:r w:rsidR="0022164B">
        <w:rPr>
          <w:b/>
          <w:noProof w:val="0"/>
          <w:sz w:val="22"/>
        </w:rPr>
        <w:t>LIST</w:t>
      </w:r>
    </w:p>
    <w:p w:rsidR="0022164B" w:rsidRDefault="0022164B">
      <w:pPr>
        <w:keepLines/>
        <w:tabs>
          <w:tab w:val="right" w:pos="10483"/>
        </w:tabs>
        <w:jc w:val="center"/>
        <w:rPr>
          <w:noProof w:val="0"/>
          <w:sz w:val="16"/>
        </w:rPr>
      </w:pPr>
      <w:r>
        <w:rPr>
          <w:noProof w:val="0"/>
          <w:sz w:val="16"/>
        </w:rPr>
        <w:t>Wisconsin Department of Transportation</w:t>
      </w:r>
    </w:p>
    <w:p w:rsidR="002F04D7" w:rsidRDefault="00FB2CE4">
      <w:pPr>
        <w:keepLines/>
        <w:tabs>
          <w:tab w:val="right" w:pos="10483"/>
        </w:tabs>
        <w:jc w:val="center"/>
        <w:rPr>
          <w:noProof w:val="0"/>
          <w:sz w:val="16"/>
        </w:rPr>
      </w:pPr>
      <w:r>
        <w:rPr>
          <w:noProof w:val="0"/>
          <w:sz w:val="16"/>
        </w:rPr>
        <w:t>Bureau of Technical Services – Relocation Program</w:t>
      </w:r>
      <w:r w:rsidR="002F04D7">
        <w:rPr>
          <w:noProof w:val="0"/>
          <w:sz w:val="16"/>
        </w:rPr>
        <w:t xml:space="preserve"> </w:t>
      </w:r>
    </w:p>
    <w:p w:rsidR="00FB2CE4" w:rsidRDefault="00A732B1">
      <w:pPr>
        <w:keepLines/>
        <w:tabs>
          <w:tab w:val="right" w:pos="10483"/>
        </w:tabs>
        <w:jc w:val="center"/>
        <w:rPr>
          <w:noProof w:val="0"/>
          <w:sz w:val="16"/>
        </w:rPr>
      </w:pPr>
      <w:r>
        <w:rPr>
          <w:noProof w:val="0"/>
          <w:sz w:val="16"/>
        </w:rPr>
        <w:t xml:space="preserve">Unnumbered </w:t>
      </w:r>
      <w:r w:rsidR="00F64041">
        <w:rPr>
          <w:noProof w:val="0"/>
          <w:sz w:val="16"/>
        </w:rPr>
        <w:t>11/2019</w:t>
      </w:r>
      <w:bookmarkStart w:id="0" w:name="_GoBack"/>
      <w:bookmarkEnd w:id="0"/>
    </w:p>
    <w:p w:rsidR="00FB2CE4" w:rsidRDefault="00FB2CE4">
      <w:pPr>
        <w:keepLines/>
        <w:tabs>
          <w:tab w:val="right" w:pos="10483"/>
        </w:tabs>
        <w:jc w:val="center"/>
        <w:rPr>
          <w:noProof w:val="0"/>
          <w:sz w:val="16"/>
        </w:rPr>
      </w:pPr>
    </w:p>
    <w:p w:rsidR="00FB2CE4" w:rsidRPr="00B155BB" w:rsidRDefault="008F66A9" w:rsidP="00FB2CE4">
      <w:pPr>
        <w:keepLines/>
        <w:tabs>
          <w:tab w:val="right" w:pos="10483"/>
        </w:tabs>
        <w:rPr>
          <w:noProof w:val="0"/>
        </w:rPr>
      </w:pPr>
      <w:r>
        <w:rPr>
          <w:noProof w:val="0"/>
          <w:u w:val="single"/>
        </w:rPr>
        <w:t>INSTRUCTIONS:</w:t>
      </w:r>
      <w:r w:rsidR="00FB2CE4" w:rsidRPr="00B155BB">
        <w:rPr>
          <w:noProof w:val="0"/>
        </w:rPr>
        <w:t xml:space="preserve"> Items listed below should be uploaded into READS generally in this order. Relocation Specialist will verify that the Relocation Log has been completed by </w:t>
      </w:r>
      <w:r>
        <w:rPr>
          <w:noProof w:val="0"/>
        </w:rPr>
        <w:t>checking box and filling in</w:t>
      </w:r>
      <w:r w:rsidR="00FB2CE4" w:rsidRPr="00B155BB">
        <w:rPr>
          <w:noProof w:val="0"/>
        </w:rPr>
        <w:t xml:space="preserve"> each line</w:t>
      </w:r>
      <w:r>
        <w:rPr>
          <w:noProof w:val="0"/>
        </w:rPr>
        <w:t xml:space="preserve"> as appropriate</w:t>
      </w:r>
      <w:r w:rsidR="00FB2CE4" w:rsidRPr="00B155BB">
        <w:rPr>
          <w:noProof w:val="0"/>
        </w:rPr>
        <w:t>. This checklist should be uploaded in Relocation Log for BTS review.</w:t>
      </w:r>
      <w:r w:rsidR="00B155BB">
        <w:rPr>
          <w:noProof w:val="0"/>
        </w:rPr>
        <w:t xml:space="preserve"> </w:t>
      </w:r>
      <w:r w:rsidR="003E38B7" w:rsidRPr="00B155BB">
        <w:rPr>
          <w:noProof w:val="0"/>
        </w:rPr>
        <w:t>PLEASE NOTE: Any duplicates and unsigned documents/letters should be deleted from relocation log.</w:t>
      </w:r>
      <w:r w:rsidR="00FB2CE4" w:rsidRPr="00B155BB">
        <w:rPr>
          <w:noProof w:val="0"/>
        </w:rPr>
        <w:t xml:space="preserve"> </w:t>
      </w:r>
    </w:p>
    <w:p w:rsidR="00B155BB" w:rsidRPr="00FB2CE4" w:rsidRDefault="00B155BB" w:rsidP="00FB2CE4">
      <w:pPr>
        <w:keepLines/>
        <w:tabs>
          <w:tab w:val="right" w:pos="10483"/>
        </w:tabs>
        <w:rPr>
          <w:noProof w:val="0"/>
          <w:sz w:val="18"/>
        </w:rPr>
      </w:pPr>
    </w:p>
    <w:p w:rsidR="00ED4A11" w:rsidRPr="00F22EC5" w:rsidRDefault="00ED4A11" w:rsidP="00ED4A11">
      <w:pPr>
        <w:keepLines/>
        <w:tabs>
          <w:tab w:val="right" w:pos="10483"/>
        </w:tabs>
        <w:rPr>
          <w:i/>
          <w:noProof w:val="0"/>
          <w:sz w:val="12"/>
        </w:rPr>
      </w:pP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2"/>
        <w:gridCol w:w="1493"/>
        <w:gridCol w:w="1392"/>
        <w:gridCol w:w="1437"/>
        <w:gridCol w:w="2790"/>
        <w:gridCol w:w="2516"/>
      </w:tblGrid>
      <w:tr w:rsidR="00B155BB" w:rsidRPr="00CA3EA1" w:rsidTr="00B155BB">
        <w:trPr>
          <w:trHeight w:val="678"/>
        </w:trPr>
        <w:tc>
          <w:tcPr>
            <w:tcW w:w="1230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55BB" w:rsidRDefault="00B155BB" w:rsidP="00926995">
            <w:pPr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Project ID</w:t>
            </w:r>
          </w:p>
          <w:p w:rsidR="00FA672F" w:rsidRPr="00CA3EA1" w:rsidRDefault="00FA672F" w:rsidP="00926995">
            <w:pPr>
              <w:rPr>
                <w:noProof w:val="0"/>
                <w:sz w:val="18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55BB" w:rsidRDefault="00B155BB" w:rsidP="00926995">
            <w:pPr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 xml:space="preserve">Parcel </w:t>
            </w:r>
            <w:r w:rsidR="002F04D7">
              <w:rPr>
                <w:noProof w:val="0"/>
                <w:sz w:val="18"/>
              </w:rPr>
              <w:t>#</w:t>
            </w:r>
          </w:p>
          <w:p w:rsidR="00FA672F" w:rsidRPr="00CA3EA1" w:rsidRDefault="00FA672F" w:rsidP="00926995">
            <w:pPr>
              <w:rPr>
                <w:noProof w:val="0"/>
                <w:sz w:val="18"/>
                <w:u w:val="single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55BB" w:rsidRDefault="00B155BB" w:rsidP="00926995">
            <w:pPr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Unit</w:t>
            </w:r>
            <w:r w:rsidR="002F04D7">
              <w:rPr>
                <w:noProof w:val="0"/>
                <w:sz w:val="18"/>
              </w:rPr>
              <w:t xml:space="preserve"> #</w:t>
            </w:r>
          </w:p>
          <w:p w:rsidR="00FA672F" w:rsidRPr="00CA3EA1" w:rsidRDefault="00FA672F" w:rsidP="00926995">
            <w:pPr>
              <w:rPr>
                <w:noProof w:val="0"/>
                <w:sz w:val="1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155BB" w:rsidRDefault="00B155BB" w:rsidP="00926995">
            <w:pPr>
              <w:rPr>
                <w:noProof w:val="0"/>
                <w:sz w:val="18"/>
              </w:rPr>
            </w:pPr>
            <w:r w:rsidRPr="00CA3EA1">
              <w:rPr>
                <w:noProof w:val="0"/>
                <w:sz w:val="18"/>
              </w:rPr>
              <w:t>Occupant Name</w:t>
            </w:r>
            <w:r w:rsidR="002F04D7">
              <w:rPr>
                <w:noProof w:val="0"/>
                <w:sz w:val="18"/>
              </w:rPr>
              <w:t>(s)</w:t>
            </w:r>
          </w:p>
          <w:p w:rsidR="00FA672F" w:rsidRPr="00CA3EA1" w:rsidRDefault="00FA672F" w:rsidP="00926995">
            <w:pPr>
              <w:rPr>
                <w:noProof w:val="0"/>
                <w:sz w:val="18"/>
              </w:rPr>
            </w:pPr>
          </w:p>
        </w:tc>
        <w:tc>
          <w:tcPr>
            <w:tcW w:w="116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A672F" w:rsidRDefault="00B155BB" w:rsidP="00926995">
            <w:pPr>
              <w:rPr>
                <w:noProof w:val="0"/>
                <w:sz w:val="18"/>
              </w:rPr>
            </w:pPr>
            <w:r w:rsidRPr="00CA3EA1">
              <w:rPr>
                <w:noProof w:val="0"/>
                <w:sz w:val="18"/>
              </w:rPr>
              <w:t xml:space="preserve">Relocation </w:t>
            </w:r>
            <w:r w:rsidR="009D594E">
              <w:rPr>
                <w:noProof w:val="0"/>
                <w:sz w:val="18"/>
              </w:rPr>
              <w:t>Specialist</w:t>
            </w:r>
          </w:p>
          <w:p w:rsidR="00B155BB" w:rsidRPr="00CA3EA1" w:rsidRDefault="00B155BB" w:rsidP="00926995">
            <w:pPr>
              <w:rPr>
                <w:noProof w:val="0"/>
                <w:sz w:val="18"/>
              </w:rPr>
            </w:pPr>
          </w:p>
        </w:tc>
      </w:tr>
      <w:tr w:rsidR="00CA3EA1" w:rsidRPr="00CA3EA1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38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38B7" w:rsidRPr="00CA3EA1" w:rsidRDefault="003E38B7" w:rsidP="002F04D7">
            <w:pPr>
              <w:jc w:val="center"/>
              <w:rPr>
                <w:sz w:val="18"/>
              </w:rPr>
            </w:pPr>
            <w:r w:rsidRPr="00CA3EA1">
              <w:rPr>
                <w:sz w:val="18"/>
              </w:rPr>
              <w:t>Review Completed</w:t>
            </w: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38B7" w:rsidRPr="00CA3EA1" w:rsidRDefault="003E38B7" w:rsidP="002F04D7">
            <w:pPr>
              <w:jc w:val="center"/>
              <w:rPr>
                <w:sz w:val="18"/>
              </w:rPr>
            </w:pPr>
            <w:r w:rsidRPr="00CA3EA1">
              <w:rPr>
                <w:sz w:val="18"/>
              </w:rPr>
              <w:t>Uploaded in READS relocation log</w:t>
            </w:r>
          </w:p>
        </w:tc>
        <w:tc>
          <w:tcPr>
            <w:tcW w:w="645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38B7" w:rsidRPr="00CA3EA1" w:rsidRDefault="003E38B7" w:rsidP="002F04D7">
            <w:pPr>
              <w:jc w:val="center"/>
              <w:rPr>
                <w:sz w:val="18"/>
              </w:rPr>
            </w:pPr>
            <w:r w:rsidRPr="00CA3EA1">
              <w:rPr>
                <w:sz w:val="18"/>
              </w:rPr>
              <w:t>Name of Relocation Specialist</w:t>
            </w:r>
          </w:p>
        </w:tc>
        <w:tc>
          <w:tcPr>
            <w:tcW w:w="666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38B7" w:rsidRPr="00CA3EA1" w:rsidRDefault="003E38B7" w:rsidP="002F04D7">
            <w:pPr>
              <w:jc w:val="center"/>
              <w:rPr>
                <w:sz w:val="18"/>
              </w:rPr>
            </w:pPr>
            <w:r w:rsidRPr="00CA3EA1">
              <w:rPr>
                <w:sz w:val="18"/>
              </w:rPr>
              <w:t>Date</w:t>
            </w:r>
          </w:p>
          <w:p w:rsidR="003E38B7" w:rsidRPr="00CA3EA1" w:rsidRDefault="003E38B7" w:rsidP="002F04D7">
            <w:pPr>
              <w:jc w:val="center"/>
              <w:rPr>
                <w:sz w:val="18"/>
              </w:rPr>
            </w:pPr>
            <w:r w:rsidRPr="00CA3EA1">
              <w:rPr>
                <w:sz w:val="18"/>
              </w:rPr>
              <w:t>Entered or Approved</w:t>
            </w:r>
          </w:p>
        </w:tc>
        <w:tc>
          <w:tcPr>
            <w:tcW w:w="2459" w:type="pct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38B7" w:rsidRPr="00CA3EA1" w:rsidRDefault="003E38B7" w:rsidP="002F04D7">
            <w:pPr>
              <w:keepLines/>
              <w:tabs>
                <w:tab w:val="right" w:pos="10483"/>
              </w:tabs>
              <w:rPr>
                <w:noProof w:val="0"/>
                <w:sz w:val="18"/>
              </w:rPr>
            </w:pPr>
          </w:p>
          <w:p w:rsidR="003E38B7" w:rsidRPr="00CA3EA1" w:rsidRDefault="00B155BB" w:rsidP="002F04D7">
            <w:pPr>
              <w:keepLines/>
              <w:tabs>
                <w:tab w:val="right" w:pos="10483"/>
              </w:tabs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ITEM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38" w:type="pct"/>
            <w:vAlign w:val="center"/>
          </w:tcPr>
          <w:p w:rsidR="003E38B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3E38B7" w:rsidRDefault="00CA3EA1" w:rsidP="002F04D7">
            <w:pPr>
              <w:jc w:val="center"/>
            </w:pPr>
            <w:r>
              <w:t>n/a</w:t>
            </w:r>
          </w:p>
        </w:tc>
        <w:tc>
          <w:tcPr>
            <w:tcW w:w="645" w:type="pct"/>
            <w:vAlign w:val="center"/>
          </w:tcPr>
          <w:p w:rsidR="003E38B7" w:rsidRDefault="003E38B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3E38B7" w:rsidRDefault="003E38B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3E38B7" w:rsidRDefault="003E38B7" w:rsidP="002F04D7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>DOA brochure sent – date entered in READS field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3E38B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3E38B7" w:rsidRDefault="003E38B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3E38B7" w:rsidRDefault="003E38B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3E38B7" w:rsidRDefault="00CA3EA1" w:rsidP="002F04D7">
            <w:pPr>
              <w:jc w:val="center"/>
            </w:pPr>
            <w:r>
              <w:t>n/a</w:t>
            </w:r>
          </w:p>
        </w:tc>
        <w:tc>
          <w:tcPr>
            <w:tcW w:w="2459" w:type="pct"/>
            <w:gridSpan w:val="2"/>
            <w:vAlign w:val="center"/>
          </w:tcPr>
          <w:p w:rsidR="003E38B7" w:rsidRDefault="000363E9" w:rsidP="009D594E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>Q</w:t>
            </w:r>
            <w:r w:rsidR="003E38B7">
              <w:rPr>
                <w:noProof w:val="0"/>
                <w:sz w:val="18"/>
              </w:rPr>
              <w:t xml:space="preserve">uestionnaire &amp; interview letter – signed by </w:t>
            </w:r>
            <w:r w:rsidR="009D594E">
              <w:rPr>
                <w:noProof w:val="0"/>
                <w:sz w:val="18"/>
              </w:rPr>
              <w:t>specialist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  <w:r>
              <w:t>n/a</w:t>
            </w: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tabs>
                <w:tab w:val="left" w:pos="358"/>
              </w:tabs>
              <w:ind w:left="343" w:hanging="34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Initial occupancy –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9D594E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 xml:space="preserve">Letter of intent to acquire – signed by </w:t>
            </w:r>
            <w:r w:rsidR="009D594E">
              <w:rPr>
                <w:noProof w:val="0"/>
                <w:sz w:val="18"/>
              </w:rPr>
              <w:t>specialist</w:t>
            </w:r>
            <w:r>
              <w:rPr>
                <w:noProof w:val="0"/>
                <w:sz w:val="18"/>
              </w:rPr>
              <w:t>/date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>Intent to acquire sent –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Pr="003E38B7" w:rsidRDefault="002F04D7" w:rsidP="002F04D7">
            <w:r w:rsidRPr="003E38B7">
              <w:rPr>
                <w:noProof w:val="0"/>
                <w:sz w:val="18"/>
              </w:rPr>
              <w:t xml:space="preserve">Acquisition stage plan approved – uploaded to </w:t>
            </w:r>
            <w:r>
              <w:rPr>
                <w:noProof w:val="0"/>
                <w:sz w:val="18"/>
              </w:rPr>
              <w:t>READS</w:t>
            </w:r>
            <w:r w:rsidRPr="003E38B7">
              <w:rPr>
                <w:noProof w:val="0"/>
                <w:sz w:val="18"/>
              </w:rPr>
              <w:t xml:space="preserve"> plan tab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3E06FB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>Re</w:t>
            </w:r>
            <w:r w:rsidR="003E06FB">
              <w:rPr>
                <w:noProof w:val="0"/>
                <w:sz w:val="18"/>
              </w:rPr>
              <w:t>placement</w:t>
            </w:r>
            <w:r>
              <w:rPr>
                <w:noProof w:val="0"/>
                <w:sz w:val="18"/>
              </w:rPr>
              <w:t xml:space="preserve"> computation submitted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D264DE" w:rsidP="003E06FB">
            <w:pPr>
              <w:tabs>
                <w:tab w:val="left" w:pos="0"/>
              </w:tabs>
            </w:pPr>
            <w:r>
              <w:rPr>
                <w:noProof w:val="0"/>
                <w:sz w:val="18"/>
              </w:rPr>
              <w:t>Re</w:t>
            </w:r>
            <w:r w:rsidR="003E06FB">
              <w:rPr>
                <w:noProof w:val="0"/>
                <w:sz w:val="18"/>
              </w:rPr>
              <w:t>placement</w:t>
            </w:r>
            <w:r>
              <w:rPr>
                <w:noProof w:val="0"/>
                <w:sz w:val="18"/>
              </w:rPr>
              <w:t xml:space="preserve"> computation approved by BTS statewide relocation facilitator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DF2902" w:rsidP="002F04D7">
            <w:pPr>
              <w:jc w:val="center"/>
            </w:pPr>
            <w:r>
              <w:t>n/a</w:t>
            </w: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DF2902" w:rsidP="002F04D7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>Relocation assistance package delivered –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spacing w:before="20"/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spacing w:before="20"/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spacing w:before="20"/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DF2902" w:rsidP="009D594E">
            <w:pPr>
              <w:tabs>
                <w:tab w:val="left" w:pos="358"/>
              </w:tabs>
              <w:spacing w:before="20"/>
              <w:ind w:left="343" w:hanging="34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 xml:space="preserve">Initiation of relocation letter – signed by </w:t>
            </w:r>
            <w:r w:rsidR="009D594E">
              <w:rPr>
                <w:noProof w:val="0"/>
                <w:sz w:val="18"/>
              </w:rPr>
              <w:t>specialist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spacing w:before="20"/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spacing w:before="20"/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spacing w:before="20"/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DF2902" w:rsidP="009D594E">
            <w:pPr>
              <w:tabs>
                <w:tab w:val="left" w:pos="358"/>
              </w:tabs>
              <w:spacing w:before="20"/>
              <w:ind w:left="343" w:hanging="343"/>
            </w:pPr>
            <w:r>
              <w:rPr>
                <w:noProof w:val="0"/>
                <w:sz w:val="18"/>
              </w:rPr>
              <w:t xml:space="preserve">90 day assurance of occupancy given – signed by </w:t>
            </w:r>
            <w:r w:rsidR="009D594E">
              <w:rPr>
                <w:noProof w:val="0"/>
                <w:sz w:val="18"/>
              </w:rPr>
              <w:t>specialist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DF2902" w:rsidP="002F04D7">
            <w:pPr>
              <w:jc w:val="center"/>
            </w:pPr>
            <w:r>
              <w:t>n/a</w:t>
            </w: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DF2902" w:rsidP="002F04D7">
            <w:pPr>
              <w:tabs>
                <w:tab w:val="left" w:pos="358"/>
              </w:tabs>
              <w:spacing w:before="20"/>
              <w:ind w:left="343" w:hanging="343"/>
            </w:pPr>
            <w:r>
              <w:rPr>
                <w:noProof w:val="0"/>
                <w:sz w:val="18"/>
              </w:rPr>
              <w:t>90 day notice to vacate –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DF2902" w:rsidP="00DF2902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 – Certification of legal residency and date entered in READS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Pr="00ED4A11" w:rsidRDefault="00B5125C" w:rsidP="002F04D7">
            <w:pPr>
              <w:rPr>
                <w:sz w:val="18"/>
                <w:szCs w:val="18"/>
              </w:rPr>
            </w:pPr>
            <w:r w:rsidRPr="00ED4A11">
              <w:rPr>
                <w:sz w:val="18"/>
                <w:szCs w:val="18"/>
              </w:rPr>
              <w:t>Signed – relocation payments summary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Pr="00ED4A11" w:rsidRDefault="00B5125C" w:rsidP="002F04D7">
            <w:pPr>
              <w:tabs>
                <w:tab w:val="left" w:pos="358"/>
              </w:tabs>
              <w:ind w:left="343" w:hanging="343"/>
              <w:rPr>
                <w:sz w:val="18"/>
                <w:szCs w:val="18"/>
              </w:rPr>
            </w:pPr>
            <w:r w:rsidRPr="00ED4A11">
              <w:rPr>
                <w:sz w:val="18"/>
                <w:szCs w:val="18"/>
              </w:rPr>
              <w:t>Signed – relocation assistance package receipt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Pr="00ED4A11" w:rsidRDefault="00B5125C" w:rsidP="009D594E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noProof w:val="0"/>
                <w:sz w:val="18"/>
              </w:rPr>
              <w:t xml:space="preserve">30 day notice to vacate given (if necessary) – signed by </w:t>
            </w:r>
            <w:r w:rsidR="009D594E">
              <w:rPr>
                <w:noProof w:val="0"/>
                <w:sz w:val="18"/>
              </w:rPr>
              <w:t xml:space="preserve">specialist </w:t>
            </w:r>
            <w:r>
              <w:rPr>
                <w:noProof w:val="0"/>
                <w:sz w:val="18"/>
              </w:rPr>
              <w:t>and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B5125C" w:rsidP="002F04D7">
            <w:r>
              <w:rPr>
                <w:noProof w:val="0"/>
                <w:sz w:val="18"/>
              </w:rPr>
              <w:t>Rental agreement &amp; closing summary – signed and uploaded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B5125C" w:rsidP="002F04D7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>Residential DSS inspection of replacement – signed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B5125C" w:rsidP="009D594E">
            <w:pPr>
              <w:tabs>
                <w:tab w:val="left" w:pos="358"/>
              </w:tabs>
              <w:ind w:left="343" w:hanging="343"/>
            </w:pPr>
            <w:r>
              <w:rPr>
                <w:noProof w:val="0"/>
                <w:sz w:val="18"/>
              </w:rPr>
              <w:t xml:space="preserve">Vacancy notice – signed by </w:t>
            </w:r>
            <w:proofErr w:type="spellStart"/>
            <w:r>
              <w:rPr>
                <w:noProof w:val="0"/>
                <w:sz w:val="18"/>
              </w:rPr>
              <w:t>displacee</w:t>
            </w:r>
            <w:proofErr w:type="spellEnd"/>
            <w:r>
              <w:rPr>
                <w:noProof w:val="0"/>
                <w:sz w:val="18"/>
              </w:rPr>
              <w:t xml:space="preserve"> and </w:t>
            </w:r>
            <w:r w:rsidR="009D594E">
              <w:rPr>
                <w:noProof w:val="0"/>
                <w:sz w:val="18"/>
              </w:rPr>
              <w:t>specialist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  <w:r>
              <w:t>n/a</w:t>
            </w: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tabs>
                <w:tab w:val="left" w:pos="358"/>
              </w:tabs>
              <w:ind w:left="343" w:hanging="34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Move inspection date –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  <w:r>
              <w:t>n/a</w:t>
            </w: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tabs>
                <w:tab w:val="left" w:pos="358"/>
              </w:tabs>
              <w:ind w:left="343" w:hanging="34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Actual vacate date – date entered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All relocation claims - uploaded with supporting documentation, receipts and photos (should match items found under the claims tab).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ind w:hanging="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Any claim reductions or denials, letters and explanations, and appeals handout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tabs>
                <w:tab w:val="left" w:pos="358"/>
              </w:tabs>
              <w:ind w:left="343" w:hanging="34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Individual relocation case report completed and CO notified</w:t>
            </w:r>
          </w:p>
        </w:tc>
      </w:tr>
      <w:tr w:rsidR="002F04D7" w:rsidTr="002F04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38" w:type="pct"/>
            <w:vAlign w:val="center"/>
          </w:tcPr>
          <w:p w:rsidR="002F04D7" w:rsidRDefault="0003022C" w:rsidP="002F04D7">
            <w:pPr>
              <w:jc w:val="center"/>
            </w:pPr>
            <w:r w:rsidRPr="00BA6F5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F5D">
              <w:rPr>
                <w:sz w:val="16"/>
                <w:szCs w:val="16"/>
              </w:rPr>
              <w:instrText xml:space="preserve"> FORMCHECKBOX </w:instrText>
            </w:r>
            <w:r w:rsidR="00F64041">
              <w:rPr>
                <w:sz w:val="16"/>
                <w:szCs w:val="16"/>
              </w:rPr>
            </w:r>
            <w:r w:rsidR="00F64041">
              <w:rPr>
                <w:sz w:val="16"/>
                <w:szCs w:val="16"/>
              </w:rPr>
              <w:fldChar w:fldCharType="separate"/>
            </w:r>
            <w:r w:rsidRPr="00BA6F5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2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45" w:type="pct"/>
            <w:vAlign w:val="center"/>
          </w:tcPr>
          <w:p w:rsidR="002F04D7" w:rsidRDefault="002F04D7" w:rsidP="002F04D7">
            <w:pPr>
              <w:jc w:val="center"/>
            </w:pPr>
          </w:p>
        </w:tc>
        <w:tc>
          <w:tcPr>
            <w:tcW w:w="666" w:type="pct"/>
            <w:vAlign w:val="center"/>
          </w:tcPr>
          <w:p w:rsidR="002F04D7" w:rsidRPr="00BD0352" w:rsidRDefault="002F04D7" w:rsidP="002F04D7">
            <w:pPr>
              <w:tabs>
                <w:tab w:val="left" w:pos="1100"/>
              </w:tabs>
              <w:jc w:val="center"/>
            </w:pPr>
          </w:p>
        </w:tc>
        <w:tc>
          <w:tcPr>
            <w:tcW w:w="2459" w:type="pct"/>
            <w:gridSpan w:val="2"/>
            <w:vAlign w:val="center"/>
          </w:tcPr>
          <w:p w:rsidR="002F04D7" w:rsidRDefault="002F04D7" w:rsidP="002F04D7">
            <w:pPr>
              <w:tabs>
                <w:tab w:val="left" w:pos="358"/>
              </w:tabs>
              <w:ind w:left="343" w:hanging="343"/>
              <w:rPr>
                <w:noProof w:val="0"/>
                <w:sz w:val="18"/>
              </w:rPr>
            </w:pPr>
            <w:r>
              <w:rPr>
                <w:noProof w:val="0"/>
                <w:sz w:val="18"/>
              </w:rPr>
              <w:t>Generate completed diary</w:t>
            </w:r>
            <w:r w:rsidR="00A561D2">
              <w:rPr>
                <w:noProof w:val="0"/>
                <w:sz w:val="18"/>
              </w:rPr>
              <w:t xml:space="preserve"> – signed by specialist and dated</w:t>
            </w:r>
          </w:p>
        </w:tc>
      </w:tr>
      <w:tr w:rsidR="002F04D7" w:rsidTr="00B155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2F2F2"/>
          </w:tcPr>
          <w:p w:rsidR="002F04D7" w:rsidRDefault="008F66A9" w:rsidP="002F04D7">
            <w:r>
              <w:lastRenderedPageBreak/>
              <w:t>Identify missing items, outstanding issues or concerns</w:t>
            </w:r>
            <w:r w:rsidR="002F04D7">
              <w:t xml:space="preserve"> that must be addressed by relocation </w:t>
            </w:r>
            <w:r>
              <w:t>specialist:</w:t>
            </w:r>
          </w:p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  <w:p w:rsidR="002F04D7" w:rsidRDefault="002F04D7" w:rsidP="002F04D7"/>
        </w:tc>
      </w:tr>
      <w:tr w:rsidR="002F04D7" w:rsidTr="00B155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2F04D7" w:rsidRDefault="002F04D7" w:rsidP="002F04D7">
            <w:pPr>
              <w:tabs>
                <w:tab w:val="right" w:pos="7093"/>
                <w:tab w:val="left" w:pos="7198"/>
                <w:tab w:val="left" w:pos="10243"/>
              </w:tabs>
              <w:rPr>
                <w:b/>
              </w:rPr>
            </w:pPr>
            <w:r>
              <w:t xml:space="preserve">File Auditor Name:  </w:t>
            </w:r>
            <w:r>
              <w:rPr>
                <w:u w:val="single"/>
              </w:rPr>
              <w:tab/>
            </w:r>
            <w:r>
              <w:tab/>
              <w:t xml:space="preserve">Date: </w:t>
            </w:r>
            <w:r w:rsidR="0032268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322680">
              <w:rPr>
                <w:u w:val="single"/>
              </w:rPr>
            </w:r>
            <w:r w:rsidR="00322680">
              <w:rPr>
                <w:u w:val="single"/>
              </w:rPr>
              <w:fldChar w:fldCharType="separate"/>
            </w:r>
            <w:r>
              <w:rPr>
                <w:rFonts w:ascii="Cambria Math" w:hAnsi="Cambria Math"/>
                <w:u w:val="single"/>
              </w:rPr>
              <w:t>     </w:t>
            </w:r>
            <w:r w:rsidR="00322680">
              <w:rPr>
                <w:u w:val="single"/>
              </w:rPr>
              <w:fldChar w:fldCharType="end"/>
            </w:r>
            <w:r>
              <w:rPr>
                <w:i/>
                <w:u w:val="single"/>
              </w:rPr>
              <w:tab/>
            </w:r>
          </w:p>
        </w:tc>
      </w:tr>
    </w:tbl>
    <w:p w:rsidR="0022164B" w:rsidRDefault="0022164B" w:rsidP="00982B21">
      <w:pPr>
        <w:rPr>
          <w:b/>
          <w:noProof w:val="0"/>
          <w:sz w:val="12"/>
        </w:rPr>
      </w:pPr>
    </w:p>
    <w:sectPr w:rsidR="0022164B" w:rsidSect="00322680">
      <w:footerReference w:type="default" r:id="rId10"/>
      <w:pgSz w:w="12240" w:h="15840" w:code="1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CD" w:rsidRDefault="006C2ACD" w:rsidP="007D10DF">
      <w:r>
        <w:separator/>
      </w:r>
    </w:p>
  </w:endnote>
  <w:endnote w:type="continuationSeparator" w:id="0">
    <w:p w:rsidR="006C2ACD" w:rsidRDefault="006C2ACD" w:rsidP="007D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52" w:rsidRPr="00BD0352" w:rsidRDefault="00BD0352">
    <w:pPr>
      <w:pStyle w:val="Footer"/>
      <w:jc w:val="center"/>
      <w:rPr>
        <w:sz w:val="18"/>
      </w:rPr>
    </w:pPr>
    <w:r w:rsidRPr="00BD0352">
      <w:rPr>
        <w:noProof w:val="0"/>
        <w:sz w:val="18"/>
      </w:rPr>
      <w:t xml:space="preserve">Page </w:t>
    </w:r>
    <w:sdt>
      <w:sdtPr>
        <w:rPr>
          <w:noProof w:val="0"/>
          <w:sz w:val="18"/>
        </w:rPr>
        <w:id w:val="47179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2680" w:rsidRPr="00BD0352">
          <w:rPr>
            <w:noProof w:val="0"/>
            <w:sz w:val="18"/>
          </w:rPr>
          <w:fldChar w:fldCharType="begin"/>
        </w:r>
        <w:r w:rsidRPr="00BD0352">
          <w:rPr>
            <w:sz w:val="18"/>
          </w:rPr>
          <w:instrText xml:space="preserve"> PAGE   \* MERGEFORMAT </w:instrText>
        </w:r>
        <w:r w:rsidR="00322680" w:rsidRPr="00BD0352">
          <w:rPr>
            <w:noProof w:val="0"/>
            <w:sz w:val="18"/>
          </w:rPr>
          <w:fldChar w:fldCharType="separate"/>
        </w:r>
        <w:r w:rsidR="00ED2513">
          <w:rPr>
            <w:sz w:val="18"/>
          </w:rPr>
          <w:t>1</w:t>
        </w:r>
        <w:r w:rsidR="00322680" w:rsidRPr="00BD0352">
          <w:rPr>
            <w:sz w:val="18"/>
          </w:rPr>
          <w:fldChar w:fldCharType="end"/>
        </w:r>
      </w:sdtContent>
    </w:sdt>
  </w:p>
  <w:p w:rsidR="007D10DF" w:rsidRPr="00CA3EA1" w:rsidRDefault="007D10DF" w:rsidP="00CA3EA1">
    <w:pPr>
      <w:pStyle w:val="Head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CD" w:rsidRDefault="006C2ACD" w:rsidP="007D10DF">
      <w:r>
        <w:separator/>
      </w:r>
    </w:p>
  </w:footnote>
  <w:footnote w:type="continuationSeparator" w:id="0">
    <w:p w:rsidR="006C2ACD" w:rsidRDefault="006C2ACD" w:rsidP="007D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C5"/>
    <w:rsid w:val="0003022C"/>
    <w:rsid w:val="0003337B"/>
    <w:rsid w:val="000363E9"/>
    <w:rsid w:val="0022164B"/>
    <w:rsid w:val="002F04D7"/>
    <w:rsid w:val="00322680"/>
    <w:rsid w:val="003E06FB"/>
    <w:rsid w:val="003E38B7"/>
    <w:rsid w:val="004B2ABF"/>
    <w:rsid w:val="00567BFB"/>
    <w:rsid w:val="006C2ACD"/>
    <w:rsid w:val="007670EA"/>
    <w:rsid w:val="00792380"/>
    <w:rsid w:val="007D10DF"/>
    <w:rsid w:val="00845695"/>
    <w:rsid w:val="00864D5F"/>
    <w:rsid w:val="008B7810"/>
    <w:rsid w:val="008F66A9"/>
    <w:rsid w:val="0090102C"/>
    <w:rsid w:val="00924783"/>
    <w:rsid w:val="00982B21"/>
    <w:rsid w:val="009D594E"/>
    <w:rsid w:val="00A561D2"/>
    <w:rsid w:val="00A732B1"/>
    <w:rsid w:val="00B155BB"/>
    <w:rsid w:val="00B25449"/>
    <w:rsid w:val="00B4528C"/>
    <w:rsid w:val="00B5125C"/>
    <w:rsid w:val="00B70F3A"/>
    <w:rsid w:val="00BD0352"/>
    <w:rsid w:val="00C309B0"/>
    <w:rsid w:val="00CA3EA1"/>
    <w:rsid w:val="00CF15D2"/>
    <w:rsid w:val="00D264DE"/>
    <w:rsid w:val="00D7671A"/>
    <w:rsid w:val="00DF2902"/>
    <w:rsid w:val="00ED2513"/>
    <w:rsid w:val="00ED4A11"/>
    <w:rsid w:val="00F22EC5"/>
    <w:rsid w:val="00F64041"/>
    <w:rsid w:val="00FA672F"/>
    <w:rsid w:val="00FB2CE4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711C6"/>
  <w15:docId w15:val="{01001087-27DB-48D1-8DE7-48EE10B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68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322680"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D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D1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0D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D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F411-5D40-4ECC-BB36-2BFC6E460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80265-8854-4942-9F50-3297CEDB66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3A586D-0ED6-4D8B-B888-37947DE7AE95}"/>
</file>

<file path=customXml/itemProps4.xml><?xml version="1.0" encoding="utf-8"?>
<ds:datastoreItem xmlns:ds="http://schemas.openxmlformats.org/officeDocument/2006/customXml" ds:itemID="{F0FB400B-AED6-45D2-BDE3-A487C34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READS RELOCATION PARCEL CHECKLIST</vt:lpstr>
    </vt:vector>
  </TitlesOfParts>
  <Company>Wisconsin Department of Transportation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READS RELOCATION PARCEL CHECKLIST</dc:title>
  <dc:creator>WisDOT Real Estate</dc:creator>
  <cp:keywords>READS RELOCATION PARCEL CHECKLIST</cp:keywords>
  <dc:description>READS RELOCATION PARCEL CHECKLIST</dc:description>
  <cp:lastModifiedBy>Bruns, Connie - DOT</cp:lastModifiedBy>
  <cp:revision>3</cp:revision>
  <cp:lastPrinted>2017-12-06T20:40:00Z</cp:lastPrinted>
  <dcterms:created xsi:type="dcterms:W3CDTF">2019-11-26T21:51:00Z</dcterms:created>
  <dcterms:modified xsi:type="dcterms:W3CDTF">2019-11-26T21:51:00Z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