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742" w:rsidRPr="00790631" w:rsidRDefault="007A4742" w:rsidP="00790631">
      <w:pPr>
        <w:spacing w:after="0" w:line="240" w:lineRule="auto"/>
        <w:jc w:val="center"/>
        <w:rPr>
          <w:rFonts w:ascii="Arial" w:eastAsia="Times New Roman" w:hAnsi="Arial" w:cs="Arial"/>
          <w:b/>
          <w:caps/>
          <w:lang w:val="en"/>
        </w:rPr>
      </w:pPr>
      <w:r w:rsidRPr="00790631">
        <w:rPr>
          <w:rFonts w:ascii="Arial" w:eastAsia="Times New Roman" w:hAnsi="Arial" w:cs="Arial"/>
          <w:b/>
          <w:caps/>
          <w:lang w:val="en"/>
        </w:rPr>
        <w:t>Definitions specific or pertinent to REPM/Chapter 10</w:t>
      </w:r>
    </w:p>
    <w:p w:rsidR="007A4742" w:rsidRDefault="007A4742" w:rsidP="00B64B35">
      <w:pPr>
        <w:spacing w:after="0" w:line="240" w:lineRule="auto"/>
        <w:jc w:val="both"/>
      </w:pPr>
    </w:p>
    <w:p w:rsidR="00B64B35" w:rsidRPr="00B64B35" w:rsidRDefault="00B64B35" w:rsidP="00B64B35">
      <w:pPr>
        <w:spacing w:after="0" w:line="240" w:lineRule="auto"/>
        <w:jc w:val="both"/>
        <w:rPr>
          <w:rFonts w:ascii="Arial" w:eastAsia="Times New Roman" w:hAnsi="Arial" w:cs="Arial"/>
          <w:sz w:val="20"/>
          <w:szCs w:val="20"/>
          <w:lang w:val="en"/>
        </w:rPr>
      </w:pPr>
      <w:r w:rsidRPr="00B64B35">
        <w:rPr>
          <w:rFonts w:ascii="Arial" w:eastAsia="Times New Roman" w:hAnsi="Arial" w:cs="Arial"/>
          <w:b/>
          <w:sz w:val="20"/>
          <w:szCs w:val="20"/>
          <w:lang w:val="en"/>
        </w:rPr>
        <w:t xml:space="preserve">Adjacent area </w:t>
      </w:r>
      <w:r w:rsidRPr="00B64B35">
        <w:rPr>
          <w:rFonts w:ascii="Arial" w:eastAsia="Times New Roman" w:hAnsi="Arial" w:cs="Arial"/>
          <w:sz w:val="20"/>
          <w:szCs w:val="20"/>
          <w:lang w:val="en"/>
        </w:rPr>
        <w:t>- An area that is adjacent to and within 660 feet of the nearest edge of the right of way of any interstate or primary highway or the Great River Road, which 660 feet distance, shall be measured horizontally along a line normal or perpendicular to the centerline of the highway.</w:t>
      </w:r>
    </w:p>
    <w:p w:rsidR="00B64B35" w:rsidRPr="00B64B35" w:rsidRDefault="00B64B35" w:rsidP="00B64B35">
      <w:pPr>
        <w:spacing w:after="0" w:line="240" w:lineRule="auto"/>
        <w:jc w:val="both"/>
        <w:rPr>
          <w:rFonts w:ascii="Arial" w:hAnsi="Arial" w:cs="Arial"/>
          <w:sz w:val="20"/>
          <w:szCs w:val="20"/>
        </w:rPr>
      </w:pPr>
    </w:p>
    <w:p w:rsidR="00B64B35" w:rsidRPr="00B64B35" w:rsidRDefault="00B64B35" w:rsidP="00B64B35">
      <w:pPr>
        <w:spacing w:after="0" w:line="240" w:lineRule="auto"/>
        <w:jc w:val="both"/>
        <w:rPr>
          <w:rFonts w:ascii="Arial" w:hAnsi="Arial" w:cs="Arial"/>
          <w:sz w:val="20"/>
          <w:szCs w:val="20"/>
        </w:rPr>
      </w:pPr>
      <w:r w:rsidRPr="00B64B35">
        <w:rPr>
          <w:rFonts w:ascii="Arial" w:hAnsi="Arial" w:cs="Arial"/>
          <w:b/>
          <w:bCs/>
          <w:sz w:val="20"/>
          <w:szCs w:val="20"/>
        </w:rPr>
        <w:t xml:space="preserve">Business area - </w:t>
      </w:r>
      <w:r w:rsidRPr="00B64B35">
        <w:rPr>
          <w:rFonts w:ascii="Arial" w:hAnsi="Arial" w:cs="Arial"/>
          <w:sz w:val="20"/>
          <w:szCs w:val="20"/>
        </w:rPr>
        <w:t>Business area means different things along interstate and non-interstate highways.  Along non-interstate highways, "business area" means land within 660 feet of the right of way that is:</w:t>
      </w:r>
    </w:p>
    <w:p w:rsidR="00B64B35" w:rsidRPr="00B64B35" w:rsidRDefault="00B64B35" w:rsidP="00B64B35">
      <w:pPr>
        <w:spacing w:after="0" w:line="240" w:lineRule="auto"/>
        <w:jc w:val="both"/>
        <w:rPr>
          <w:rFonts w:ascii="Arial" w:hAnsi="Arial" w:cs="Arial"/>
          <w:sz w:val="20"/>
          <w:szCs w:val="20"/>
        </w:rPr>
      </w:pPr>
    </w:p>
    <w:p w:rsidR="00B64B35" w:rsidRPr="00B64B35" w:rsidRDefault="00B64B35" w:rsidP="00B64B35">
      <w:pPr>
        <w:pStyle w:val="ListParagraph"/>
        <w:numPr>
          <w:ilvl w:val="0"/>
          <w:numId w:val="1"/>
        </w:numPr>
        <w:ind w:left="360" w:hanging="360"/>
        <w:jc w:val="both"/>
        <w:rPr>
          <w:rFonts w:cs="Arial"/>
          <w:sz w:val="20"/>
        </w:rPr>
      </w:pPr>
      <w:r w:rsidRPr="00B64B35">
        <w:rPr>
          <w:rFonts w:cs="Arial"/>
          <w:sz w:val="20"/>
        </w:rPr>
        <w:t>Zoned for business, industrial or commercial activities under the authority of the laws of this state; or</w:t>
      </w:r>
    </w:p>
    <w:p w:rsidR="00B64B35" w:rsidRPr="00B64B35" w:rsidRDefault="00B64B35" w:rsidP="00B64B35">
      <w:pPr>
        <w:pStyle w:val="ListParagraph"/>
        <w:numPr>
          <w:ilvl w:val="0"/>
          <w:numId w:val="1"/>
        </w:numPr>
        <w:ind w:left="360" w:hanging="360"/>
        <w:jc w:val="both"/>
        <w:rPr>
          <w:rFonts w:cs="Arial"/>
          <w:sz w:val="20"/>
        </w:rPr>
      </w:pPr>
      <w:r w:rsidRPr="00B64B35">
        <w:rPr>
          <w:rFonts w:cs="Arial"/>
          <w:sz w:val="20"/>
        </w:rPr>
        <w:t>Not zoned, but constitutes an unzoned commercial or industrial area as defined in Wis. Stat. §</w:t>
      </w:r>
      <w:hyperlink r:id="rId7" w:history="1">
        <w:r w:rsidRPr="002562CC">
          <w:rPr>
            <w:rStyle w:val="Hyperlink"/>
            <w:rFonts w:ascii="Arial" w:hAnsi="Arial" w:cs="Arial"/>
            <w:sz w:val="20"/>
          </w:rPr>
          <w:t>84.30(2</w:t>
        </w:r>
        <w:proofErr w:type="gramStart"/>
        <w:r w:rsidRPr="002562CC">
          <w:rPr>
            <w:rStyle w:val="Hyperlink"/>
            <w:rFonts w:ascii="Arial" w:hAnsi="Arial" w:cs="Arial"/>
            <w:sz w:val="20"/>
          </w:rPr>
          <w:t>)(</w:t>
        </w:r>
        <w:proofErr w:type="gramEnd"/>
        <w:r w:rsidRPr="002562CC">
          <w:rPr>
            <w:rStyle w:val="Hyperlink"/>
            <w:rFonts w:ascii="Arial" w:hAnsi="Arial" w:cs="Arial"/>
            <w:sz w:val="20"/>
          </w:rPr>
          <w:t>k)</w:t>
        </w:r>
      </w:hyperlink>
      <w:r w:rsidRPr="00B64B35">
        <w:rPr>
          <w:rFonts w:cs="Arial"/>
          <w:sz w:val="20"/>
        </w:rPr>
        <w:t>.</w:t>
      </w:r>
    </w:p>
    <w:p w:rsidR="00B64B35" w:rsidRPr="00B64B35" w:rsidRDefault="00B64B35" w:rsidP="00B64B35">
      <w:pPr>
        <w:spacing w:after="0" w:line="240" w:lineRule="auto"/>
        <w:jc w:val="both"/>
        <w:rPr>
          <w:rFonts w:ascii="Arial" w:hAnsi="Arial" w:cs="Arial"/>
          <w:sz w:val="20"/>
          <w:szCs w:val="20"/>
        </w:rPr>
      </w:pPr>
    </w:p>
    <w:p w:rsidR="00B64B35" w:rsidRPr="00B64B35" w:rsidRDefault="00B64B35" w:rsidP="00B64B35">
      <w:pPr>
        <w:spacing w:after="0" w:line="240" w:lineRule="auto"/>
        <w:jc w:val="both"/>
        <w:rPr>
          <w:rFonts w:ascii="Arial" w:hAnsi="Arial" w:cs="Arial"/>
          <w:sz w:val="20"/>
          <w:szCs w:val="20"/>
        </w:rPr>
      </w:pPr>
      <w:r w:rsidRPr="00B64B35">
        <w:rPr>
          <w:rFonts w:ascii="Arial" w:hAnsi="Arial" w:cs="Arial"/>
          <w:sz w:val="20"/>
          <w:szCs w:val="20"/>
        </w:rPr>
        <w:t xml:space="preserve">Along the interstate system, “business area” generally means lands that are within 660 feet of the interstate right of way that are currently zoned commercial or industrial AND that are within the September 1, 1959, boundaries of an incorporated municipality.  Lands in commercial or industrial districts that were annexed by a municipality after 1959 do not qualify as “business areas.”  </w:t>
      </w:r>
      <w:proofErr w:type="gramStart"/>
      <w:r w:rsidRPr="00B64B35">
        <w:rPr>
          <w:rFonts w:ascii="Arial" w:hAnsi="Arial" w:cs="Arial"/>
          <w:sz w:val="20"/>
          <w:szCs w:val="20"/>
        </w:rPr>
        <w:t>Wis. Stat. §</w:t>
      </w:r>
      <w:hyperlink r:id="rId8" w:history="1">
        <w:r w:rsidRPr="002562CC">
          <w:rPr>
            <w:rStyle w:val="Hyperlink"/>
            <w:rFonts w:ascii="Arial" w:hAnsi="Arial" w:cs="Arial"/>
            <w:sz w:val="20"/>
            <w:szCs w:val="20"/>
          </w:rPr>
          <w:t>84.30(2)(b)</w:t>
        </w:r>
      </w:hyperlink>
      <w:r w:rsidRPr="00B64B35">
        <w:rPr>
          <w:rFonts w:ascii="Arial" w:hAnsi="Arial" w:cs="Arial"/>
          <w:sz w:val="20"/>
          <w:szCs w:val="20"/>
        </w:rPr>
        <w:t>.</w:t>
      </w:r>
      <w:proofErr w:type="gramEnd"/>
      <w:r w:rsidRPr="00B64B35">
        <w:rPr>
          <w:rFonts w:ascii="Arial" w:hAnsi="Arial" w:cs="Arial"/>
          <w:sz w:val="20"/>
          <w:szCs w:val="20"/>
        </w:rPr>
        <w:t xml:space="preserve">  Date of annexation can be found from annexation records </w:t>
      </w:r>
      <w:r w:rsidR="002562CC">
        <w:rPr>
          <w:rFonts w:ascii="Arial" w:hAnsi="Arial" w:cs="Arial"/>
          <w:sz w:val="20"/>
          <w:szCs w:val="20"/>
        </w:rPr>
        <w:t>at</w:t>
      </w:r>
      <w:r w:rsidRPr="00B64B35">
        <w:rPr>
          <w:rFonts w:ascii="Arial" w:hAnsi="Arial" w:cs="Arial"/>
          <w:sz w:val="20"/>
          <w:szCs w:val="20"/>
        </w:rPr>
        <w:t xml:space="preserve"> Secretary of State</w:t>
      </w:r>
      <w:r w:rsidR="00856960">
        <w:rPr>
          <w:rFonts w:ascii="Arial" w:hAnsi="Arial" w:cs="Arial"/>
          <w:sz w:val="20"/>
          <w:szCs w:val="20"/>
        </w:rPr>
        <w:t>, see</w:t>
      </w:r>
      <w:r w:rsidRPr="00B64B35">
        <w:rPr>
          <w:rFonts w:ascii="Arial" w:hAnsi="Arial" w:cs="Arial"/>
          <w:sz w:val="20"/>
          <w:szCs w:val="20"/>
        </w:rPr>
        <w:t xml:space="preserve"> </w:t>
      </w:r>
      <w:hyperlink r:id="rId9" w:history="1">
        <w:r w:rsidRPr="00B64B35">
          <w:rPr>
            <w:rFonts w:ascii="Arial" w:hAnsi="Arial" w:cs="Arial"/>
            <w:color w:val="0000FF"/>
            <w:sz w:val="20"/>
            <w:szCs w:val="20"/>
            <w:u w:val="single"/>
          </w:rPr>
          <w:t>http://www.sos.state.wi.us/record.htm</w:t>
        </w:r>
        <w:r w:rsidRPr="00B64B35">
          <w:rPr>
            <w:rFonts w:ascii="Arial" w:hAnsi="Arial" w:cs="Arial"/>
            <w:sz w:val="20"/>
            <w:szCs w:val="20"/>
          </w:rPr>
          <w:t>.</w:t>
        </w:r>
      </w:hyperlink>
    </w:p>
    <w:p w:rsidR="00B64B35" w:rsidRPr="00B64B35" w:rsidRDefault="00B64B35" w:rsidP="00B64B35">
      <w:pPr>
        <w:spacing w:after="0" w:line="240" w:lineRule="auto"/>
        <w:jc w:val="both"/>
        <w:rPr>
          <w:rFonts w:ascii="Arial" w:hAnsi="Arial" w:cs="Arial"/>
          <w:sz w:val="20"/>
          <w:szCs w:val="20"/>
        </w:rPr>
      </w:pPr>
    </w:p>
    <w:p w:rsidR="00B64B35" w:rsidRPr="00B64B35" w:rsidRDefault="00B64B35" w:rsidP="00B64B35">
      <w:pPr>
        <w:spacing w:after="0" w:line="240" w:lineRule="auto"/>
        <w:jc w:val="both"/>
        <w:rPr>
          <w:rFonts w:ascii="Arial" w:hAnsi="Arial" w:cs="Arial"/>
          <w:sz w:val="20"/>
          <w:szCs w:val="20"/>
        </w:rPr>
      </w:pPr>
      <w:r w:rsidRPr="00B64B35">
        <w:rPr>
          <w:rFonts w:ascii="Arial" w:hAnsi="Arial" w:cs="Arial"/>
          <w:b/>
          <w:bCs/>
          <w:sz w:val="20"/>
          <w:szCs w:val="20"/>
        </w:rPr>
        <w:t xml:space="preserve">Gross/Net advertising revenue - </w:t>
      </w:r>
      <w:r w:rsidRPr="00B64B35">
        <w:rPr>
          <w:rFonts w:ascii="Arial" w:hAnsi="Arial" w:cs="Arial"/>
          <w:sz w:val="20"/>
          <w:szCs w:val="20"/>
        </w:rPr>
        <w:t>Net Advertising Revenue is usually reported as an annual dollar amount and calculated by determining the gross advertising revenue from sales of advertising on a billboard at a location and then making adjustments as follows.  From the gross advertising revenue figure, the following are subtracted: ad agency fees and production costs, such as printing, vinyl production, and ad production.  That net amount is then reduced for expected ad vacancy to arrive at Net Advertising Revenue for the sign.</w:t>
      </w:r>
    </w:p>
    <w:p w:rsidR="00B64B35" w:rsidRPr="00B64B35" w:rsidRDefault="00B64B35" w:rsidP="00B64B35">
      <w:pPr>
        <w:spacing w:after="0" w:line="240" w:lineRule="auto"/>
        <w:jc w:val="both"/>
        <w:rPr>
          <w:rFonts w:ascii="Arial" w:hAnsi="Arial" w:cs="Arial"/>
          <w:sz w:val="20"/>
          <w:szCs w:val="20"/>
        </w:rPr>
      </w:pPr>
    </w:p>
    <w:p w:rsidR="00B64B35" w:rsidRPr="00B64B35" w:rsidRDefault="00B64B35" w:rsidP="00B64B35">
      <w:pPr>
        <w:spacing w:after="0" w:line="240" w:lineRule="auto"/>
        <w:jc w:val="both"/>
        <w:rPr>
          <w:rFonts w:ascii="Arial" w:hAnsi="Arial" w:cs="Arial"/>
          <w:sz w:val="20"/>
          <w:szCs w:val="20"/>
        </w:rPr>
      </w:pPr>
      <w:r w:rsidRPr="00B64B35">
        <w:rPr>
          <w:rFonts w:ascii="Arial" w:hAnsi="Arial" w:cs="Arial"/>
          <w:b/>
          <w:bCs/>
          <w:sz w:val="20"/>
          <w:szCs w:val="20"/>
        </w:rPr>
        <w:t xml:space="preserve">Off-premises sign - </w:t>
      </w:r>
      <w:r w:rsidRPr="00B64B35">
        <w:rPr>
          <w:rFonts w:ascii="Arial" w:hAnsi="Arial" w:cs="Arial"/>
          <w:sz w:val="20"/>
          <w:szCs w:val="20"/>
        </w:rPr>
        <w:t>“Off-premises” or “off-property sign” means a sign that is not an on-premises sign.  (</w:t>
      </w:r>
      <w:hyperlink r:id="rId10" w:history="1">
        <w:r w:rsidRPr="00F04A0F">
          <w:rPr>
            <w:rStyle w:val="Hyperlink"/>
            <w:rFonts w:ascii="Arial" w:hAnsi="Arial" w:cs="Arial"/>
            <w:sz w:val="20"/>
            <w:szCs w:val="20"/>
          </w:rPr>
          <w:t>Trans 201(8)</w:t>
        </w:r>
      </w:hyperlink>
      <w:r w:rsidRPr="00B64B35">
        <w:rPr>
          <w:rFonts w:ascii="Arial" w:hAnsi="Arial" w:cs="Arial"/>
          <w:sz w:val="20"/>
          <w:szCs w:val="20"/>
        </w:rPr>
        <w:t>)</w:t>
      </w:r>
    </w:p>
    <w:p w:rsidR="00B64B35" w:rsidRPr="00B64B35" w:rsidRDefault="00B64B35" w:rsidP="00B64B35">
      <w:pPr>
        <w:spacing w:after="0" w:line="240" w:lineRule="auto"/>
        <w:jc w:val="both"/>
        <w:rPr>
          <w:rFonts w:ascii="Arial" w:hAnsi="Arial" w:cs="Arial"/>
          <w:sz w:val="20"/>
          <w:szCs w:val="20"/>
        </w:rPr>
      </w:pPr>
    </w:p>
    <w:p w:rsidR="00B64B35" w:rsidRPr="00B64B35" w:rsidRDefault="00B64B35" w:rsidP="00B64B35">
      <w:pPr>
        <w:spacing w:after="0" w:line="240" w:lineRule="auto"/>
        <w:jc w:val="both"/>
        <w:rPr>
          <w:rFonts w:ascii="Arial" w:hAnsi="Arial" w:cs="Arial"/>
          <w:sz w:val="20"/>
          <w:szCs w:val="20"/>
        </w:rPr>
      </w:pPr>
      <w:r w:rsidRPr="00B64B35">
        <w:rPr>
          <w:rFonts w:ascii="Arial" w:hAnsi="Arial" w:cs="Arial"/>
          <w:b/>
          <w:bCs/>
          <w:sz w:val="20"/>
          <w:szCs w:val="20"/>
        </w:rPr>
        <w:t xml:space="preserve">On-premises sign - </w:t>
      </w:r>
      <w:r w:rsidRPr="00B64B35">
        <w:rPr>
          <w:rFonts w:ascii="Arial" w:hAnsi="Arial" w:cs="Arial"/>
          <w:sz w:val="20"/>
          <w:szCs w:val="20"/>
        </w:rPr>
        <w:t>"On-premises" or "on-property sign</w:t>
      </w:r>
      <w:r w:rsidR="001327E1">
        <w:rPr>
          <w:rFonts w:ascii="Arial" w:hAnsi="Arial" w:cs="Arial"/>
          <w:sz w:val="20"/>
          <w:szCs w:val="20"/>
        </w:rPr>
        <w:t>,</w:t>
      </w:r>
      <w:r w:rsidRPr="00B64B35">
        <w:rPr>
          <w:rFonts w:ascii="Arial" w:hAnsi="Arial" w:cs="Arial"/>
          <w:sz w:val="20"/>
          <w:szCs w:val="20"/>
        </w:rPr>
        <w:t>" for purposes of Wis. Stat. §</w:t>
      </w:r>
      <w:hyperlink r:id="rId11" w:history="1">
        <w:r w:rsidRPr="002562CC">
          <w:rPr>
            <w:rStyle w:val="Hyperlink"/>
            <w:rFonts w:ascii="Arial" w:hAnsi="Arial" w:cs="Arial"/>
            <w:sz w:val="20"/>
            <w:szCs w:val="20"/>
          </w:rPr>
          <w:t>84.30</w:t>
        </w:r>
      </w:hyperlink>
      <w:r w:rsidRPr="00B64B35">
        <w:rPr>
          <w:rFonts w:ascii="Arial" w:hAnsi="Arial" w:cs="Arial"/>
          <w:sz w:val="20"/>
          <w:szCs w:val="20"/>
        </w:rPr>
        <w:t xml:space="preserve"> and Chapter </w:t>
      </w:r>
      <w:hyperlink r:id="rId12" w:history="1">
        <w:r w:rsidRPr="00856960">
          <w:rPr>
            <w:rStyle w:val="Hyperlink"/>
            <w:rFonts w:ascii="Arial" w:hAnsi="Arial" w:cs="Arial"/>
            <w:sz w:val="20"/>
            <w:szCs w:val="20"/>
          </w:rPr>
          <w:t>Trans 201</w:t>
        </w:r>
      </w:hyperlink>
      <w:r w:rsidRPr="00B64B35">
        <w:rPr>
          <w:rFonts w:ascii="Arial" w:hAnsi="Arial" w:cs="Arial"/>
          <w:sz w:val="20"/>
          <w:szCs w:val="20"/>
        </w:rPr>
        <w:t>, means a sign at a business location advertising a business that is conducted on the property and that is located in the immediate vicinity of the business.  "Immediate vicinity" in this definition means the sign is within the area bounded by the buildings, driveways and parking areas in which the activity is conducted or within 50 feet of that area.  "Immediate vicinity" does not include any area across a street or road from the area where the business is conducted or any area developed for erecting a sign.  Local laws may define the term differently so it is possible for a sign to be considered on-premise under a local ordinance and off-premise under state law.  (</w:t>
      </w:r>
      <w:hyperlink r:id="rId13" w:history="1">
        <w:r w:rsidRPr="00856960">
          <w:rPr>
            <w:rStyle w:val="Hyperlink"/>
            <w:rFonts w:ascii="Arial" w:hAnsi="Arial" w:cs="Arial"/>
            <w:sz w:val="20"/>
            <w:szCs w:val="20"/>
          </w:rPr>
          <w:t>Trans 201(9)</w:t>
        </w:r>
      </w:hyperlink>
      <w:r w:rsidRPr="00B64B35">
        <w:rPr>
          <w:rFonts w:ascii="Arial" w:hAnsi="Arial" w:cs="Arial"/>
          <w:sz w:val="20"/>
          <w:szCs w:val="20"/>
        </w:rPr>
        <w:t>)</w:t>
      </w:r>
    </w:p>
    <w:p w:rsidR="00B64B35" w:rsidRPr="00B64B35" w:rsidRDefault="00B64B35" w:rsidP="00B64B35">
      <w:pPr>
        <w:spacing w:after="0" w:line="240" w:lineRule="auto"/>
        <w:jc w:val="both"/>
        <w:rPr>
          <w:rFonts w:ascii="Arial" w:hAnsi="Arial" w:cs="Arial"/>
          <w:sz w:val="20"/>
          <w:szCs w:val="20"/>
        </w:rPr>
      </w:pPr>
    </w:p>
    <w:p w:rsidR="00B64B35" w:rsidRPr="00B64B35" w:rsidRDefault="00B64B35" w:rsidP="00B64B35">
      <w:pPr>
        <w:spacing w:after="0" w:line="240" w:lineRule="auto"/>
        <w:jc w:val="both"/>
        <w:rPr>
          <w:rFonts w:ascii="Arial" w:hAnsi="Arial" w:cs="Arial"/>
          <w:sz w:val="20"/>
          <w:szCs w:val="20"/>
        </w:rPr>
      </w:pPr>
      <w:r w:rsidRPr="00B64B35">
        <w:rPr>
          <w:rFonts w:ascii="Arial" w:hAnsi="Arial" w:cs="Arial"/>
          <w:b/>
          <w:bCs/>
          <w:sz w:val="20"/>
          <w:szCs w:val="20"/>
        </w:rPr>
        <w:t xml:space="preserve">Market/Sign site ratio - </w:t>
      </w:r>
      <w:r w:rsidRPr="00B64B35">
        <w:rPr>
          <w:rFonts w:ascii="Arial" w:hAnsi="Arial" w:cs="Arial"/>
          <w:sz w:val="20"/>
          <w:szCs w:val="20"/>
        </w:rPr>
        <w:t>This is the ratio of the real estate rent paid to the package owner for the total off-premise sign package divided by the net advertising revenue for the sign.</w:t>
      </w:r>
    </w:p>
    <w:p w:rsidR="00B64B35" w:rsidRPr="00B64B35" w:rsidRDefault="00B64B35" w:rsidP="00B64B35">
      <w:pPr>
        <w:spacing w:after="0" w:line="240" w:lineRule="auto"/>
        <w:jc w:val="both"/>
        <w:rPr>
          <w:rFonts w:ascii="Arial" w:hAnsi="Arial" w:cs="Arial"/>
          <w:sz w:val="20"/>
          <w:szCs w:val="20"/>
        </w:rPr>
      </w:pPr>
    </w:p>
    <w:p w:rsidR="00824A9A" w:rsidRPr="00B64B35" w:rsidRDefault="00B64B35" w:rsidP="00B64B35">
      <w:pPr>
        <w:spacing w:after="0" w:line="240" w:lineRule="auto"/>
        <w:jc w:val="both"/>
        <w:rPr>
          <w:rFonts w:ascii="Arial" w:hAnsi="Arial" w:cs="Arial"/>
          <w:sz w:val="20"/>
          <w:szCs w:val="20"/>
        </w:rPr>
      </w:pPr>
      <w:r w:rsidRPr="00B64B35">
        <w:rPr>
          <w:rFonts w:ascii="Arial" w:hAnsi="Arial" w:cs="Arial"/>
          <w:b/>
          <w:bCs/>
          <w:sz w:val="20"/>
          <w:szCs w:val="20"/>
        </w:rPr>
        <w:t xml:space="preserve">Unit rule - </w:t>
      </w:r>
      <w:r w:rsidRPr="00B64B35">
        <w:rPr>
          <w:rFonts w:ascii="Arial" w:hAnsi="Arial" w:cs="Arial"/>
          <w:sz w:val="20"/>
          <w:szCs w:val="20"/>
        </w:rPr>
        <w:t>Sometimes called the “undivided fee rule,” is a method for valuing property in eminent domain proceedings where the property being acquired is subject to multiple ownership interests.  Compensation is determined based on the fair market value of the property as a whole, as if there were only one owner.  Once the property’s fair market value is determined, then that value is apportioned among all of those who hold an interest in the property.  The division of the value of the fee into separate interests cannot exceed the amount of compensation to be paid by the condemning authority.</w:t>
      </w:r>
    </w:p>
    <w:sectPr w:rsidR="00824A9A" w:rsidRPr="00B64B35" w:rsidSect="00B64B35">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E84" w:rsidRDefault="00382E84" w:rsidP="00D6467F">
      <w:pPr>
        <w:spacing w:after="0" w:line="240" w:lineRule="auto"/>
      </w:pPr>
      <w:r>
        <w:separator/>
      </w:r>
    </w:p>
  </w:endnote>
  <w:endnote w:type="continuationSeparator" w:id="0">
    <w:p w:rsidR="00382E84" w:rsidRDefault="00382E84" w:rsidP="00D6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89E" w:rsidRPr="00165D76" w:rsidRDefault="00F1689E">
    <w:pPr>
      <w:pStyle w:val="Footer"/>
      <w:rPr>
        <w:rFonts w:ascii="Arial" w:hAnsi="Arial" w:cs="Arial"/>
        <w:sz w:val="16"/>
        <w:szCs w:val="16"/>
      </w:rPr>
    </w:pPr>
    <w:r w:rsidRPr="00165D76">
      <w:rPr>
        <w:rFonts w:ascii="Arial" w:hAnsi="Arial" w:cs="Arial"/>
        <w:sz w:val="16"/>
        <w:szCs w:val="16"/>
      </w:rPr>
      <w:t xml:space="preserve">Rev. </w:t>
    </w:r>
    <w:r w:rsidR="00165D76" w:rsidRPr="00165D76">
      <w:rPr>
        <w:rFonts w:ascii="Arial" w:hAnsi="Arial" w:cs="Arial"/>
        <w:sz w:val="16"/>
        <w:szCs w:val="16"/>
      </w:rPr>
      <w:t>0</w:t>
    </w:r>
    <w:r w:rsidR="007F2CD7">
      <w:rPr>
        <w:rFonts w:ascii="Arial" w:hAnsi="Arial" w:cs="Arial"/>
        <w:sz w:val="16"/>
        <w:szCs w:val="16"/>
      </w:rPr>
      <w:t>4</w:t>
    </w:r>
    <w:r w:rsidRPr="00165D76">
      <w:rPr>
        <w:rFonts w:ascii="Arial" w:hAnsi="Arial" w:cs="Arial"/>
        <w:sz w:val="16"/>
        <w:szCs w:val="16"/>
      </w:rPr>
      <w:t>/</w:t>
    </w:r>
    <w:r w:rsidR="00165D76" w:rsidRPr="00165D76">
      <w:rPr>
        <w:rFonts w:ascii="Arial" w:hAnsi="Arial" w:cs="Arial"/>
        <w:sz w:val="16"/>
        <w:szCs w:val="16"/>
      </w:rPr>
      <w:t>20</w:t>
    </w:r>
    <w:r w:rsidRPr="00165D76">
      <w:rPr>
        <w:rFonts w:ascii="Arial" w:hAnsi="Arial" w:cs="Arial"/>
        <w:sz w:val="16"/>
        <w:szCs w:val="16"/>
      </w:rPr>
      <w:t>1</w:t>
    </w:r>
    <w:r w:rsidR="007F2CD7">
      <w:rPr>
        <w:rFonts w:ascii="Arial" w:hAnsi="Arial" w:cs="Arial"/>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E84" w:rsidRDefault="00382E84" w:rsidP="00D6467F">
      <w:pPr>
        <w:spacing w:after="0" w:line="240" w:lineRule="auto"/>
      </w:pPr>
      <w:r>
        <w:separator/>
      </w:r>
    </w:p>
  </w:footnote>
  <w:footnote w:type="continuationSeparator" w:id="0">
    <w:p w:rsidR="00382E84" w:rsidRDefault="00382E84" w:rsidP="00D646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67F" w:rsidRPr="0022490E" w:rsidRDefault="00D6467F" w:rsidP="00B64B35">
    <w:pPr>
      <w:pStyle w:val="Header"/>
      <w:tabs>
        <w:tab w:val="clear" w:pos="4680"/>
      </w:tabs>
      <w:rPr>
        <w:b/>
        <w:u w:val="single"/>
      </w:rPr>
    </w:pPr>
    <w:r w:rsidRPr="0022490E">
      <w:rPr>
        <w:b/>
        <w:u w:val="single"/>
      </w:rPr>
      <w:t>Real Estate Program Manual</w:t>
    </w:r>
    <w:r w:rsidRPr="0022490E">
      <w:rPr>
        <w:b/>
        <w:u w:val="single"/>
      </w:rPr>
      <w:tab/>
      <w:t xml:space="preserve">Chapter Ten: Outdoor Advertising Signs / Appendix </w:t>
    </w:r>
    <w:r w:rsidR="00B64B35">
      <w:rPr>
        <w:b/>
        <w:u w:val="single"/>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2F6D6D"/>
    <w:multiLevelType w:val="hybridMultilevel"/>
    <w:tmpl w:val="7216555C"/>
    <w:lvl w:ilvl="0" w:tplc="C20A939C">
      <w:numFmt w:val="bullet"/>
      <w:lvlText w:val="•"/>
      <w:lvlJc w:val="left"/>
      <w:pPr>
        <w:ind w:left="720" w:hanging="720"/>
      </w:pPr>
      <w:rPr>
        <w:rFonts w:ascii="Arial" w:eastAsiaTheme="minorEastAsia" w:hAnsi="Arial" w:cs="Arial" w:hint="default"/>
        <w:w w:val="13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6B0"/>
    <w:rsid w:val="00007246"/>
    <w:rsid w:val="00026DC8"/>
    <w:rsid w:val="000B25F9"/>
    <w:rsid w:val="000C3A7F"/>
    <w:rsid w:val="000D0464"/>
    <w:rsid w:val="000F1B95"/>
    <w:rsid w:val="000F3E89"/>
    <w:rsid w:val="00100E3B"/>
    <w:rsid w:val="00105A68"/>
    <w:rsid w:val="001327E1"/>
    <w:rsid w:val="00132C78"/>
    <w:rsid w:val="00165D76"/>
    <w:rsid w:val="001A250B"/>
    <w:rsid w:val="001C6084"/>
    <w:rsid w:val="002562CC"/>
    <w:rsid w:val="00266817"/>
    <w:rsid w:val="00271547"/>
    <w:rsid w:val="002B178B"/>
    <w:rsid w:val="002B62A8"/>
    <w:rsid w:val="002D1296"/>
    <w:rsid w:val="002D7495"/>
    <w:rsid w:val="002F069D"/>
    <w:rsid w:val="00322AA9"/>
    <w:rsid w:val="00332DAF"/>
    <w:rsid w:val="00351184"/>
    <w:rsid w:val="00382E84"/>
    <w:rsid w:val="00387C44"/>
    <w:rsid w:val="003A5EB0"/>
    <w:rsid w:val="003F47D7"/>
    <w:rsid w:val="004045A1"/>
    <w:rsid w:val="00416BF5"/>
    <w:rsid w:val="0042176D"/>
    <w:rsid w:val="00442D39"/>
    <w:rsid w:val="004878C7"/>
    <w:rsid w:val="004D12FA"/>
    <w:rsid w:val="00501754"/>
    <w:rsid w:val="00506A74"/>
    <w:rsid w:val="00517F9A"/>
    <w:rsid w:val="0052569D"/>
    <w:rsid w:val="005273B1"/>
    <w:rsid w:val="00535D7B"/>
    <w:rsid w:val="00540741"/>
    <w:rsid w:val="00544D3D"/>
    <w:rsid w:val="00580EB1"/>
    <w:rsid w:val="00582075"/>
    <w:rsid w:val="00587ACE"/>
    <w:rsid w:val="00594C59"/>
    <w:rsid w:val="005A794E"/>
    <w:rsid w:val="005E4DBA"/>
    <w:rsid w:val="00604B88"/>
    <w:rsid w:val="00613AA3"/>
    <w:rsid w:val="0062487C"/>
    <w:rsid w:val="00624BF9"/>
    <w:rsid w:val="0064032D"/>
    <w:rsid w:val="00642DF3"/>
    <w:rsid w:val="0068779A"/>
    <w:rsid w:val="006A4585"/>
    <w:rsid w:val="006D31E9"/>
    <w:rsid w:val="006E1130"/>
    <w:rsid w:val="00707703"/>
    <w:rsid w:val="00710453"/>
    <w:rsid w:val="007204EE"/>
    <w:rsid w:val="00780EA7"/>
    <w:rsid w:val="00782088"/>
    <w:rsid w:val="00790631"/>
    <w:rsid w:val="007A4742"/>
    <w:rsid w:val="007C047E"/>
    <w:rsid w:val="007D79AF"/>
    <w:rsid w:val="007F2CD7"/>
    <w:rsid w:val="00805FC4"/>
    <w:rsid w:val="00824A9A"/>
    <w:rsid w:val="00833305"/>
    <w:rsid w:val="008566CF"/>
    <w:rsid w:val="00856960"/>
    <w:rsid w:val="00861503"/>
    <w:rsid w:val="008A05F8"/>
    <w:rsid w:val="008A0735"/>
    <w:rsid w:val="008A432A"/>
    <w:rsid w:val="008C4A14"/>
    <w:rsid w:val="008E2A58"/>
    <w:rsid w:val="009317B1"/>
    <w:rsid w:val="00A244A6"/>
    <w:rsid w:val="00A93262"/>
    <w:rsid w:val="00A9376F"/>
    <w:rsid w:val="00AB0CF6"/>
    <w:rsid w:val="00AB40DF"/>
    <w:rsid w:val="00AE66C2"/>
    <w:rsid w:val="00AF4C56"/>
    <w:rsid w:val="00B64B35"/>
    <w:rsid w:val="00B65464"/>
    <w:rsid w:val="00BD3218"/>
    <w:rsid w:val="00BE67AA"/>
    <w:rsid w:val="00BF160D"/>
    <w:rsid w:val="00C3352D"/>
    <w:rsid w:val="00C72C69"/>
    <w:rsid w:val="00C80FCD"/>
    <w:rsid w:val="00C90B4B"/>
    <w:rsid w:val="00CC7EA2"/>
    <w:rsid w:val="00D6467F"/>
    <w:rsid w:val="00D76824"/>
    <w:rsid w:val="00D776D1"/>
    <w:rsid w:val="00DA414E"/>
    <w:rsid w:val="00DE09E0"/>
    <w:rsid w:val="00E13A6D"/>
    <w:rsid w:val="00E36290"/>
    <w:rsid w:val="00E43058"/>
    <w:rsid w:val="00E561F5"/>
    <w:rsid w:val="00E84B9C"/>
    <w:rsid w:val="00E9469A"/>
    <w:rsid w:val="00ED6F0B"/>
    <w:rsid w:val="00F044CF"/>
    <w:rsid w:val="00F049B9"/>
    <w:rsid w:val="00F04A0F"/>
    <w:rsid w:val="00F06637"/>
    <w:rsid w:val="00F1689E"/>
    <w:rsid w:val="00F17F4B"/>
    <w:rsid w:val="00F56B8C"/>
    <w:rsid w:val="00F97322"/>
    <w:rsid w:val="00FA3FE5"/>
    <w:rsid w:val="00FC76B0"/>
    <w:rsid w:val="00FE6D46"/>
    <w:rsid w:val="00FE6EB9"/>
    <w:rsid w:val="00FF2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4F2E457-C04C-4E12-A73C-9C1A49B1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6B0"/>
    <w:pPr>
      <w:spacing w:after="200" w:line="276" w:lineRule="auto"/>
    </w:pPr>
    <w:rPr>
      <w:rFonts w:asciiTheme="minorHAnsi" w:eastAsiaTheme="minorEastAsia" w:hAnsiTheme="minorHAnsi" w:cstheme="minorBidi"/>
      <w:sz w:val="22"/>
      <w:szCs w:val="22"/>
      <w:lang w:bidi="en-US"/>
    </w:rPr>
  </w:style>
  <w:style w:type="paragraph" w:styleId="Heading1">
    <w:name w:val="heading 1"/>
    <w:basedOn w:val="Normal"/>
    <w:next w:val="Normal"/>
    <w:link w:val="Heading1Char"/>
    <w:uiPriority w:val="9"/>
    <w:qFormat/>
    <w:rsid w:val="008E2A58"/>
    <w:pPr>
      <w:keepNext/>
      <w:tabs>
        <w:tab w:val="left" w:pos="-720"/>
      </w:tabs>
      <w:suppressAutoHyphens/>
      <w:overflowPunct w:val="0"/>
      <w:autoSpaceDE w:val="0"/>
      <w:autoSpaceDN w:val="0"/>
      <w:adjustRightInd w:val="0"/>
      <w:spacing w:after="0" w:line="240" w:lineRule="auto"/>
      <w:jc w:val="both"/>
      <w:textAlignment w:val="baseline"/>
      <w:outlineLvl w:val="0"/>
    </w:pPr>
    <w:rPr>
      <w:rFonts w:ascii="Univers" w:eastAsia="Times New Roman" w:hAnsi="Univers" w:cs="Times New Roman"/>
      <w:b/>
      <w:spacing w:val="-2"/>
      <w:szCs w:val="20"/>
      <w:u w:val="single"/>
      <w:lang w:bidi="ar-SA"/>
    </w:rPr>
  </w:style>
  <w:style w:type="paragraph" w:styleId="Heading2">
    <w:name w:val="heading 2"/>
    <w:basedOn w:val="Normal"/>
    <w:next w:val="Normal"/>
    <w:link w:val="Heading2Char"/>
    <w:uiPriority w:val="9"/>
    <w:qFormat/>
    <w:rsid w:val="008E2A58"/>
    <w:pPr>
      <w:keepNext/>
      <w:tabs>
        <w:tab w:val="left" w:pos="-720"/>
        <w:tab w:val="left" w:pos="0"/>
      </w:tabs>
      <w:suppressAutoHyphens/>
      <w:overflowPunct w:val="0"/>
      <w:autoSpaceDE w:val="0"/>
      <w:autoSpaceDN w:val="0"/>
      <w:adjustRightInd w:val="0"/>
      <w:spacing w:after="0" w:line="240" w:lineRule="auto"/>
      <w:jc w:val="both"/>
      <w:textAlignment w:val="baseline"/>
      <w:outlineLvl w:val="1"/>
    </w:pPr>
    <w:rPr>
      <w:rFonts w:ascii="Univers" w:eastAsia="Times New Roman" w:hAnsi="Univers" w:cs="Times New Roman"/>
      <w:b/>
      <w:spacing w:val="-2"/>
      <w:szCs w:val="20"/>
      <w:lang w:bidi="ar-SA"/>
    </w:rPr>
  </w:style>
  <w:style w:type="paragraph" w:styleId="Heading3">
    <w:name w:val="heading 3"/>
    <w:basedOn w:val="Normal"/>
    <w:next w:val="Normal"/>
    <w:link w:val="Heading3Char"/>
    <w:uiPriority w:val="9"/>
    <w:qFormat/>
    <w:rsid w:val="008E2A58"/>
    <w:pPr>
      <w:keepNext/>
      <w:tabs>
        <w:tab w:val="center" w:pos="4680"/>
      </w:tabs>
      <w:suppressAutoHyphens/>
      <w:overflowPunct w:val="0"/>
      <w:autoSpaceDE w:val="0"/>
      <w:autoSpaceDN w:val="0"/>
      <w:adjustRightInd w:val="0"/>
      <w:spacing w:after="0" w:line="240" w:lineRule="auto"/>
      <w:jc w:val="center"/>
      <w:textAlignment w:val="baseline"/>
      <w:outlineLvl w:val="2"/>
    </w:pPr>
    <w:rPr>
      <w:rFonts w:ascii="Arial" w:eastAsia="Times New Roman" w:hAnsi="Arial" w:cs="Times New Roman"/>
      <w:b/>
      <w:spacing w:val="-2"/>
      <w:szCs w:val="20"/>
      <w:u w:val="single"/>
      <w:lang w:bidi="ar-SA"/>
    </w:rPr>
  </w:style>
  <w:style w:type="paragraph" w:styleId="Heading4">
    <w:name w:val="heading 4"/>
    <w:basedOn w:val="Normal"/>
    <w:link w:val="Heading4Char"/>
    <w:uiPriority w:val="9"/>
    <w:qFormat/>
    <w:rsid w:val="008E2A58"/>
    <w:pPr>
      <w:spacing w:before="100" w:beforeAutospacing="1" w:after="24" w:line="240" w:lineRule="auto"/>
      <w:outlineLvl w:val="3"/>
    </w:pPr>
    <w:rPr>
      <w:rFonts w:ascii="Times New Roman" w:eastAsia="Times New Roman" w:hAnsi="Times New Roman" w:cs="Times New Roman"/>
      <w:b/>
      <w:bCs/>
      <w:sz w:val="24"/>
      <w:szCs w:val="24"/>
      <w:lang w:bidi="ar-SA"/>
    </w:rPr>
  </w:style>
  <w:style w:type="paragraph" w:styleId="Heading5">
    <w:name w:val="heading 5"/>
    <w:basedOn w:val="Normal"/>
    <w:link w:val="Heading5Char"/>
    <w:uiPriority w:val="9"/>
    <w:qFormat/>
    <w:rsid w:val="008E2A58"/>
    <w:pPr>
      <w:spacing w:before="100" w:beforeAutospacing="1" w:after="24" w:line="240" w:lineRule="auto"/>
      <w:outlineLvl w:val="4"/>
    </w:pPr>
    <w:rPr>
      <w:rFonts w:ascii="Times New Roman" w:eastAsia="Times New Roman" w:hAnsi="Times New Roman" w:cs="Times New Roman"/>
      <w:b/>
      <w:bCs/>
      <w:sz w:val="20"/>
      <w:szCs w:val="20"/>
      <w:lang w:bidi="ar-SA"/>
    </w:rPr>
  </w:style>
  <w:style w:type="paragraph" w:styleId="Heading6">
    <w:name w:val="heading 6"/>
    <w:basedOn w:val="Normal"/>
    <w:link w:val="Heading6Char"/>
    <w:uiPriority w:val="9"/>
    <w:qFormat/>
    <w:rsid w:val="008E2A58"/>
    <w:pPr>
      <w:spacing w:before="100" w:beforeAutospacing="1" w:after="24" w:line="240" w:lineRule="auto"/>
      <w:outlineLvl w:val="5"/>
    </w:pPr>
    <w:rPr>
      <w:rFonts w:ascii="Times New Roman" w:eastAsia="Times New Roman" w:hAnsi="Times New Roman" w:cs="Times New Roman"/>
      <w:b/>
      <w:bCs/>
      <w:sz w:val="15"/>
      <w:szCs w:val="15"/>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A58"/>
    <w:rPr>
      <w:rFonts w:ascii="Univers" w:hAnsi="Univers"/>
      <w:b/>
      <w:spacing w:val="-2"/>
      <w:sz w:val="22"/>
      <w:u w:val="single"/>
    </w:rPr>
  </w:style>
  <w:style w:type="character" w:customStyle="1" w:styleId="Heading2Char">
    <w:name w:val="Heading 2 Char"/>
    <w:basedOn w:val="DefaultParagraphFont"/>
    <w:link w:val="Heading2"/>
    <w:uiPriority w:val="9"/>
    <w:rsid w:val="008E2A58"/>
    <w:rPr>
      <w:rFonts w:ascii="Univers" w:hAnsi="Univers"/>
      <w:b/>
      <w:spacing w:val="-2"/>
      <w:sz w:val="22"/>
    </w:rPr>
  </w:style>
  <w:style w:type="character" w:customStyle="1" w:styleId="Heading3Char">
    <w:name w:val="Heading 3 Char"/>
    <w:basedOn w:val="DefaultParagraphFont"/>
    <w:link w:val="Heading3"/>
    <w:uiPriority w:val="9"/>
    <w:rsid w:val="008E2A58"/>
    <w:rPr>
      <w:rFonts w:ascii="Arial" w:hAnsi="Arial"/>
      <w:b/>
      <w:spacing w:val="-2"/>
      <w:sz w:val="22"/>
      <w:u w:val="single"/>
    </w:rPr>
  </w:style>
  <w:style w:type="character" w:customStyle="1" w:styleId="Heading4Char">
    <w:name w:val="Heading 4 Char"/>
    <w:basedOn w:val="DefaultParagraphFont"/>
    <w:link w:val="Heading4"/>
    <w:uiPriority w:val="9"/>
    <w:rsid w:val="008E2A58"/>
    <w:rPr>
      <w:b/>
      <w:bCs/>
      <w:sz w:val="24"/>
      <w:szCs w:val="24"/>
    </w:rPr>
  </w:style>
  <w:style w:type="character" w:customStyle="1" w:styleId="Heading5Char">
    <w:name w:val="Heading 5 Char"/>
    <w:basedOn w:val="DefaultParagraphFont"/>
    <w:link w:val="Heading5"/>
    <w:uiPriority w:val="9"/>
    <w:rsid w:val="008E2A58"/>
    <w:rPr>
      <w:b/>
      <w:bCs/>
    </w:rPr>
  </w:style>
  <w:style w:type="character" w:customStyle="1" w:styleId="Heading6Char">
    <w:name w:val="Heading 6 Char"/>
    <w:basedOn w:val="DefaultParagraphFont"/>
    <w:link w:val="Heading6"/>
    <w:uiPriority w:val="9"/>
    <w:rsid w:val="008E2A58"/>
    <w:rPr>
      <w:b/>
      <w:bCs/>
      <w:sz w:val="15"/>
      <w:szCs w:val="15"/>
    </w:rPr>
  </w:style>
  <w:style w:type="paragraph" w:styleId="Caption">
    <w:name w:val="caption"/>
    <w:basedOn w:val="Normal"/>
    <w:next w:val="Normal"/>
    <w:qFormat/>
    <w:rsid w:val="008E2A58"/>
    <w:pPr>
      <w:overflowPunct w:val="0"/>
      <w:autoSpaceDE w:val="0"/>
      <w:autoSpaceDN w:val="0"/>
      <w:adjustRightInd w:val="0"/>
      <w:spacing w:after="0" w:line="240" w:lineRule="auto"/>
      <w:textAlignment w:val="baseline"/>
    </w:pPr>
    <w:rPr>
      <w:rFonts w:ascii="Arial" w:eastAsia="Times New Roman" w:hAnsi="Arial" w:cs="Times New Roman"/>
      <w:sz w:val="24"/>
      <w:szCs w:val="20"/>
      <w:lang w:bidi="ar-SA"/>
    </w:rPr>
  </w:style>
  <w:style w:type="character" w:styleId="Hyperlink">
    <w:name w:val="Hyperlink"/>
    <w:basedOn w:val="DefaultParagraphFont"/>
    <w:uiPriority w:val="99"/>
    <w:rsid w:val="00FC76B0"/>
    <w:rPr>
      <w:rFonts w:ascii="Times New Roman" w:hAnsi="Times New Roman" w:cs="Times New Roman"/>
      <w:color w:val="0000FF"/>
      <w:u w:val="single"/>
    </w:rPr>
  </w:style>
  <w:style w:type="table" w:styleId="TableGrid">
    <w:name w:val="Table Grid"/>
    <w:basedOn w:val="TableNormal"/>
    <w:uiPriority w:val="59"/>
    <w:rsid w:val="00FC76B0"/>
    <w:pPr>
      <w:spacing w:after="200" w:line="276" w:lineRule="auto"/>
    </w:pPr>
    <w:rPr>
      <w:rFonts w:asciiTheme="minorHAnsi" w:eastAsia="Calibri" w:hAnsiTheme="minorHAnsi" w:cstheme="minorBid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64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67F"/>
    <w:rPr>
      <w:rFonts w:asciiTheme="minorHAnsi" w:eastAsiaTheme="minorEastAsia" w:hAnsiTheme="minorHAnsi" w:cstheme="minorBidi"/>
      <w:sz w:val="22"/>
      <w:szCs w:val="22"/>
      <w:lang w:bidi="en-US"/>
    </w:rPr>
  </w:style>
  <w:style w:type="paragraph" w:styleId="Footer">
    <w:name w:val="footer"/>
    <w:basedOn w:val="Normal"/>
    <w:link w:val="FooterChar"/>
    <w:uiPriority w:val="99"/>
    <w:unhideWhenUsed/>
    <w:rsid w:val="00D64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67F"/>
    <w:rPr>
      <w:rFonts w:asciiTheme="minorHAnsi" w:eastAsiaTheme="minorEastAsia" w:hAnsiTheme="minorHAnsi" w:cstheme="minorBidi"/>
      <w:sz w:val="22"/>
      <w:szCs w:val="22"/>
      <w:lang w:bidi="en-US"/>
    </w:rPr>
  </w:style>
  <w:style w:type="paragraph" w:customStyle="1" w:styleId="Default">
    <w:name w:val="Default"/>
    <w:rsid w:val="00544D3D"/>
    <w:pPr>
      <w:widowControl w:val="0"/>
      <w:autoSpaceDE w:val="0"/>
      <w:autoSpaceDN w:val="0"/>
      <w:adjustRightInd w:val="0"/>
    </w:pPr>
    <w:rPr>
      <w:rFonts w:ascii="Arial" w:eastAsiaTheme="minorEastAsia" w:hAnsi="Arial" w:cs="Arial"/>
      <w:color w:val="000000"/>
      <w:sz w:val="24"/>
      <w:szCs w:val="24"/>
    </w:rPr>
  </w:style>
  <w:style w:type="character" w:styleId="PlaceholderText">
    <w:name w:val="Placeholder Text"/>
    <w:basedOn w:val="DefaultParagraphFont"/>
    <w:uiPriority w:val="99"/>
    <w:semiHidden/>
    <w:rsid w:val="00544D3D"/>
    <w:rPr>
      <w:color w:val="808080"/>
    </w:rPr>
  </w:style>
  <w:style w:type="paragraph" w:styleId="ListParagraph">
    <w:name w:val="List Paragraph"/>
    <w:basedOn w:val="Normal"/>
    <w:uiPriority w:val="34"/>
    <w:qFormat/>
    <w:rsid w:val="00B64B35"/>
    <w:pPr>
      <w:spacing w:after="0" w:line="240" w:lineRule="auto"/>
      <w:ind w:left="720"/>
      <w:contextualSpacing/>
    </w:pPr>
    <w:rPr>
      <w:rFonts w:ascii="Arial" w:hAnsi="Arial"/>
      <w:color w:val="00000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legis.wisconsin.gov/document/statutes/84.30(2)(b)" TargetMode="External"/><Relationship Id="rId13" Type="http://schemas.openxmlformats.org/officeDocument/2006/relationships/hyperlink" Target="https://docs.legis.wisconsin.gov/document/administrativecode/Trans%20201.09"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docs.legis.wisconsin.gov/document/statutes/84.30(2)(k)" TargetMode="External"/><Relationship Id="rId12" Type="http://schemas.openxmlformats.org/officeDocument/2006/relationships/hyperlink" Target="https://docs.legis.wisconsin.gov/code/admin_code/trans/20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legis.wisconsin.gov/document/statutes/84.3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cs.legis.wisconsin.gov/document/administrativecode/Trans%20201.08"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sos.state.wi.us/record.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2B7CA1-2988-4C06-A0B7-84AC9A571C77}"/>
</file>

<file path=customXml/itemProps2.xml><?xml version="1.0" encoding="utf-8"?>
<ds:datastoreItem xmlns:ds="http://schemas.openxmlformats.org/officeDocument/2006/customXml" ds:itemID="{5F10B365-C9FE-4968-AF78-793A9A570CC5}"/>
</file>

<file path=customXml/itemProps3.xml><?xml version="1.0" encoding="utf-8"?>
<ds:datastoreItem xmlns:ds="http://schemas.openxmlformats.org/officeDocument/2006/customXml" ds:itemID="{959534BF-9DE8-422F-BAEF-91BA24448F07}"/>
</file>

<file path=docProps/app.xml><?xml version="1.0" encoding="utf-8"?>
<Properties xmlns="http://schemas.openxmlformats.org/officeDocument/2006/extended-properties" xmlns:vt="http://schemas.openxmlformats.org/officeDocument/2006/docPropsVTypes">
  <Template>Normal.dotm</Template>
  <TotalTime>0</TotalTime>
  <Pages>1</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Definitions specific or pertinent to REPM/Chapter 10</vt:lpstr>
    </vt:vector>
  </TitlesOfParts>
  <Company>Wisconsin Department of Transportation</Company>
  <LinksUpToDate>false</LinksUpToDate>
  <CharactersWithSpaces>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specific or pertinent to REPM/Chapter 10</dc:title>
  <dc:subject>REPM/Chapter10-SampleSignLtr</dc:subject>
  <dc:creator>WisDOT Real Estate</dc:creator>
  <cp:keywords>Definitions specific or pertinent to REPM/Chapter 10</cp:keywords>
  <dc:description>Definitions specific or pertinent to REPM/Chapter 10</dc:description>
  <cp:lastModifiedBy>WisDOT Real Estate</cp:lastModifiedBy>
  <cp:revision>1</cp:revision>
  <dcterms:created xsi:type="dcterms:W3CDTF">2017-04-27T16:12:00Z</dcterms:created>
  <dcterms:modified xsi:type="dcterms:W3CDTF">2017-04-27T16:12:00Z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