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6730" w14:textId="0311E8F7" w:rsidR="00B70716" w:rsidRPr="00CD1316" w:rsidRDefault="003A7F95" w:rsidP="003A7F95">
      <w:pPr>
        <w:jc w:val="center"/>
        <w:rPr>
          <w:rFonts w:asciiTheme="minorHAnsi" w:hAnsiTheme="minorHAnsi" w:cstheme="minorHAnsi"/>
          <w:b/>
          <w:bCs/>
          <w:sz w:val="28"/>
          <w:szCs w:val="28"/>
        </w:rPr>
      </w:pPr>
      <w:r w:rsidRPr="00CD1316">
        <w:rPr>
          <w:rFonts w:asciiTheme="minorHAnsi" w:hAnsiTheme="minorHAnsi" w:cstheme="minorHAnsi"/>
          <w:b/>
          <w:bCs/>
          <w:sz w:val="28"/>
          <w:szCs w:val="28"/>
        </w:rPr>
        <w:t xml:space="preserve">RELOCATION </w:t>
      </w:r>
      <w:r w:rsidR="008B3713" w:rsidRPr="00CD1316">
        <w:rPr>
          <w:rFonts w:asciiTheme="minorHAnsi" w:hAnsiTheme="minorHAnsi" w:cstheme="minorHAnsi"/>
          <w:b/>
          <w:bCs/>
          <w:sz w:val="28"/>
          <w:szCs w:val="28"/>
        </w:rPr>
        <w:t>PERSONAL PROPERTY</w:t>
      </w:r>
      <w:r w:rsidRPr="00CD1316">
        <w:rPr>
          <w:rFonts w:asciiTheme="minorHAnsi" w:hAnsiTheme="minorHAnsi" w:cstheme="minorHAnsi"/>
          <w:b/>
          <w:bCs/>
          <w:sz w:val="28"/>
          <w:szCs w:val="28"/>
        </w:rPr>
        <w:t xml:space="preserve"> MOVE ONLY</w:t>
      </w:r>
    </w:p>
    <w:p w14:paraId="52501D07" w14:textId="66767646" w:rsidR="003A7F95" w:rsidRPr="000700CE" w:rsidRDefault="003A7F95">
      <w:pPr>
        <w:rPr>
          <w:rFonts w:asciiTheme="minorHAnsi" w:hAnsiTheme="minorHAnsi" w:cstheme="minorHAnsi"/>
          <w:sz w:val="22"/>
          <w:szCs w:val="22"/>
        </w:rPr>
      </w:pPr>
    </w:p>
    <w:p w14:paraId="69A44860" w14:textId="5E7968C2" w:rsidR="003A7F95" w:rsidRPr="000700CE" w:rsidRDefault="003A7F95">
      <w:pPr>
        <w:rPr>
          <w:rFonts w:asciiTheme="minorHAnsi" w:hAnsiTheme="minorHAnsi" w:cstheme="minorHAnsi"/>
          <w:sz w:val="22"/>
          <w:szCs w:val="22"/>
        </w:rPr>
      </w:pPr>
    </w:p>
    <w:p w14:paraId="72B4CB2A" w14:textId="0E7EEEC7" w:rsidR="003A7F95" w:rsidRPr="000700CE" w:rsidRDefault="003A7F95">
      <w:pPr>
        <w:rPr>
          <w:rFonts w:asciiTheme="minorHAnsi" w:hAnsiTheme="minorHAnsi" w:cstheme="minorHAnsi"/>
          <w:sz w:val="22"/>
          <w:szCs w:val="22"/>
        </w:rPr>
      </w:pPr>
      <w:r w:rsidRPr="000700CE">
        <w:rPr>
          <w:rFonts w:asciiTheme="minorHAnsi" w:hAnsiTheme="minorHAnsi" w:cstheme="minorHAnsi"/>
          <w:sz w:val="22"/>
          <w:szCs w:val="22"/>
        </w:rPr>
        <w:t>As a property that has items to be relocated due to a highway construction project</w:t>
      </w:r>
      <w:r w:rsidR="002D0800" w:rsidRPr="000700CE">
        <w:rPr>
          <w:rFonts w:asciiTheme="minorHAnsi" w:hAnsiTheme="minorHAnsi" w:cstheme="minorHAnsi"/>
          <w:sz w:val="22"/>
          <w:szCs w:val="22"/>
        </w:rPr>
        <w:t xml:space="preserve"> and where no displaced persons are included in the property acquired or to be acquired</w:t>
      </w:r>
      <w:r w:rsidRPr="000700CE">
        <w:rPr>
          <w:rFonts w:asciiTheme="minorHAnsi" w:hAnsiTheme="minorHAnsi" w:cstheme="minorHAnsi"/>
          <w:sz w:val="22"/>
          <w:szCs w:val="22"/>
        </w:rPr>
        <w:t xml:space="preserve">, </w:t>
      </w:r>
      <w:r w:rsidR="0045537B" w:rsidRPr="000700CE">
        <w:rPr>
          <w:rFonts w:asciiTheme="minorHAnsi" w:hAnsiTheme="minorHAnsi" w:cstheme="minorHAnsi"/>
          <w:sz w:val="22"/>
          <w:szCs w:val="22"/>
        </w:rPr>
        <w:t>the personal property</w:t>
      </w:r>
      <w:r w:rsidRPr="000700CE">
        <w:rPr>
          <w:rFonts w:asciiTheme="minorHAnsi" w:hAnsiTheme="minorHAnsi" w:cstheme="minorHAnsi"/>
          <w:sz w:val="22"/>
          <w:szCs w:val="22"/>
        </w:rPr>
        <w:t xml:space="preserve"> may be eligible for relocation move only payment through the Wisconsin Department of Transportation (WisDOT).  This informational brochure outlines </w:t>
      </w:r>
      <w:r w:rsidR="0045537B" w:rsidRPr="000700CE">
        <w:rPr>
          <w:rFonts w:asciiTheme="minorHAnsi" w:hAnsiTheme="minorHAnsi" w:cstheme="minorHAnsi"/>
          <w:sz w:val="22"/>
          <w:szCs w:val="22"/>
        </w:rPr>
        <w:t>personal property move only</w:t>
      </w:r>
      <w:r w:rsidRPr="000700CE">
        <w:rPr>
          <w:rFonts w:asciiTheme="minorHAnsi" w:hAnsiTheme="minorHAnsi" w:cstheme="minorHAnsi"/>
          <w:sz w:val="22"/>
          <w:szCs w:val="22"/>
        </w:rPr>
        <w:t xml:space="preserve"> benefits.</w:t>
      </w:r>
    </w:p>
    <w:p w14:paraId="1AEE3AF8" w14:textId="4058F135" w:rsidR="003A7F95" w:rsidRPr="000700CE" w:rsidRDefault="003A7F95">
      <w:pPr>
        <w:rPr>
          <w:rFonts w:asciiTheme="minorHAnsi" w:hAnsiTheme="minorHAnsi" w:cstheme="minorHAnsi"/>
          <w:sz w:val="22"/>
          <w:szCs w:val="22"/>
        </w:rPr>
      </w:pPr>
    </w:p>
    <w:p w14:paraId="11DEFB5D" w14:textId="173ABF9C" w:rsidR="00F5647D" w:rsidRPr="00CD1316" w:rsidRDefault="00CD1316">
      <w:pPr>
        <w:rPr>
          <w:rFonts w:asciiTheme="minorHAnsi" w:hAnsiTheme="minorHAnsi" w:cstheme="minorHAnsi"/>
          <w:b/>
          <w:bCs/>
          <w:sz w:val="22"/>
          <w:szCs w:val="22"/>
        </w:rPr>
      </w:pPr>
      <w:r w:rsidRPr="00CD1316">
        <w:rPr>
          <w:rFonts w:asciiTheme="minorHAnsi" w:hAnsiTheme="minorHAnsi" w:cstheme="minorHAnsi"/>
          <w:b/>
          <w:bCs/>
          <w:sz w:val="22"/>
          <w:szCs w:val="22"/>
        </w:rPr>
        <w:t>RELOCATION ADVISORY SERVICES</w:t>
      </w:r>
    </w:p>
    <w:p w14:paraId="3180EB80" w14:textId="77777777" w:rsidR="00F5647D" w:rsidRPr="000700CE" w:rsidRDefault="00F5647D">
      <w:pPr>
        <w:rPr>
          <w:rFonts w:asciiTheme="minorHAnsi" w:hAnsiTheme="minorHAnsi" w:cstheme="minorHAnsi"/>
          <w:sz w:val="22"/>
          <w:szCs w:val="22"/>
        </w:rPr>
      </w:pPr>
    </w:p>
    <w:p w14:paraId="3C1D5B26" w14:textId="640F9ADD" w:rsidR="00F5647D" w:rsidRPr="000700CE" w:rsidRDefault="003A7F95">
      <w:pPr>
        <w:rPr>
          <w:rFonts w:asciiTheme="minorHAnsi" w:hAnsiTheme="minorHAnsi" w:cstheme="minorHAnsi"/>
          <w:sz w:val="22"/>
          <w:szCs w:val="22"/>
        </w:rPr>
      </w:pPr>
      <w:r w:rsidRPr="000700CE">
        <w:rPr>
          <w:rFonts w:asciiTheme="minorHAnsi" w:hAnsiTheme="minorHAnsi" w:cstheme="minorHAnsi"/>
          <w:sz w:val="22"/>
          <w:szCs w:val="22"/>
        </w:rPr>
        <w:t xml:space="preserve">A relocation specialist will be assigned to </w:t>
      </w:r>
      <w:r w:rsidR="00F5647D" w:rsidRPr="000700CE">
        <w:rPr>
          <w:rFonts w:asciiTheme="minorHAnsi" w:hAnsiTheme="minorHAnsi" w:cstheme="minorHAnsi"/>
          <w:sz w:val="22"/>
          <w:szCs w:val="22"/>
        </w:rPr>
        <w:t>discuss your relocation eligibility for various benefits.  Your relocation specialist will provide information about the move only relocation process during visits and review the timeframe you may remain at your current location.  He or she will be available during the relocation process to answer your questions and assist you in your relocation efforts.  At a minimum, you will be provided at least 90 days’ notice prior to the date you will be required to have all the personal property removed.</w:t>
      </w:r>
    </w:p>
    <w:p w14:paraId="45B4F7B0" w14:textId="4A8EE7E3" w:rsidR="007F64C1" w:rsidRPr="000700CE" w:rsidRDefault="007F64C1">
      <w:pPr>
        <w:rPr>
          <w:rFonts w:asciiTheme="minorHAnsi" w:hAnsiTheme="minorHAnsi" w:cstheme="minorHAnsi"/>
          <w:sz w:val="22"/>
          <w:szCs w:val="22"/>
        </w:rPr>
      </w:pPr>
    </w:p>
    <w:p w14:paraId="6762DE35" w14:textId="0A82E68C" w:rsidR="007F64C1" w:rsidRPr="000700CE" w:rsidRDefault="007F64C1">
      <w:pPr>
        <w:rPr>
          <w:rFonts w:asciiTheme="minorHAnsi" w:hAnsiTheme="minorHAnsi" w:cstheme="minorHAnsi"/>
          <w:b/>
          <w:bCs/>
          <w:i/>
          <w:iCs/>
          <w:sz w:val="22"/>
          <w:szCs w:val="22"/>
        </w:rPr>
      </w:pPr>
      <w:r w:rsidRPr="000700CE">
        <w:rPr>
          <w:rFonts w:asciiTheme="minorHAnsi" w:hAnsiTheme="minorHAnsi" w:cstheme="minorHAnsi"/>
          <w:b/>
          <w:bCs/>
          <w:i/>
          <w:iCs/>
          <w:sz w:val="22"/>
          <w:szCs w:val="22"/>
        </w:rPr>
        <w:t>Interview</w:t>
      </w:r>
    </w:p>
    <w:p w14:paraId="5AD33524" w14:textId="73AA8D54" w:rsidR="007F64C1" w:rsidRPr="000700CE" w:rsidRDefault="007F64C1">
      <w:pPr>
        <w:rPr>
          <w:rFonts w:asciiTheme="minorHAnsi" w:hAnsiTheme="minorHAnsi" w:cstheme="minorHAnsi"/>
          <w:sz w:val="22"/>
          <w:szCs w:val="22"/>
        </w:rPr>
      </w:pPr>
    </w:p>
    <w:p w14:paraId="70FCB4E4" w14:textId="593CC0B3" w:rsidR="007F64C1" w:rsidRPr="000700CE" w:rsidRDefault="007F64C1">
      <w:pPr>
        <w:rPr>
          <w:rFonts w:asciiTheme="minorHAnsi" w:hAnsiTheme="minorHAnsi" w:cstheme="minorHAnsi"/>
          <w:sz w:val="22"/>
          <w:szCs w:val="22"/>
        </w:rPr>
      </w:pPr>
      <w:r w:rsidRPr="000700CE">
        <w:rPr>
          <w:rFonts w:asciiTheme="minorHAnsi" w:hAnsiTheme="minorHAnsi" w:cstheme="minorHAnsi"/>
          <w:sz w:val="22"/>
          <w:szCs w:val="22"/>
        </w:rPr>
        <w:t xml:space="preserve">As a first step in the relocation process, your relocation specialist will interview you as part of a project-wide relocation plan about your personal property move needs.  During the interview, your relocation specialist will </w:t>
      </w:r>
      <w:r w:rsidR="007F073D" w:rsidRPr="000700CE">
        <w:rPr>
          <w:rFonts w:asciiTheme="minorHAnsi" w:hAnsiTheme="minorHAnsi" w:cstheme="minorHAnsi"/>
          <w:sz w:val="22"/>
          <w:szCs w:val="22"/>
        </w:rPr>
        <w:t xml:space="preserve">take pictures, </w:t>
      </w:r>
      <w:r w:rsidRPr="000700CE">
        <w:rPr>
          <w:rFonts w:asciiTheme="minorHAnsi" w:hAnsiTheme="minorHAnsi" w:cstheme="minorHAnsi"/>
          <w:sz w:val="22"/>
          <w:szCs w:val="22"/>
        </w:rPr>
        <w:t>review project timelines and possible relocation</w:t>
      </w:r>
      <w:r w:rsidR="007F073D" w:rsidRPr="000700CE">
        <w:rPr>
          <w:rFonts w:asciiTheme="minorHAnsi" w:hAnsiTheme="minorHAnsi" w:cstheme="minorHAnsi"/>
          <w:sz w:val="22"/>
          <w:szCs w:val="22"/>
        </w:rPr>
        <w:t xml:space="preserve"> move benefits and provide you with his/her contact information.</w:t>
      </w:r>
    </w:p>
    <w:p w14:paraId="723BC617" w14:textId="77777777" w:rsidR="00F5647D" w:rsidRPr="000700CE" w:rsidRDefault="00F5647D">
      <w:pPr>
        <w:rPr>
          <w:rFonts w:asciiTheme="minorHAnsi" w:hAnsiTheme="minorHAnsi" w:cstheme="minorHAnsi"/>
          <w:sz w:val="22"/>
          <w:szCs w:val="22"/>
        </w:rPr>
      </w:pPr>
    </w:p>
    <w:p w14:paraId="2A19BC76" w14:textId="77777777" w:rsidR="00F5647D" w:rsidRPr="000700CE" w:rsidRDefault="00F5647D">
      <w:pPr>
        <w:rPr>
          <w:rFonts w:asciiTheme="minorHAnsi" w:hAnsiTheme="minorHAnsi" w:cstheme="minorHAnsi"/>
          <w:b/>
          <w:bCs/>
          <w:i/>
          <w:iCs/>
          <w:sz w:val="22"/>
          <w:szCs w:val="22"/>
        </w:rPr>
      </w:pPr>
      <w:r w:rsidRPr="000700CE">
        <w:rPr>
          <w:rFonts w:asciiTheme="minorHAnsi" w:hAnsiTheme="minorHAnsi" w:cstheme="minorHAnsi"/>
          <w:b/>
          <w:bCs/>
          <w:i/>
          <w:iCs/>
          <w:sz w:val="22"/>
          <w:szCs w:val="22"/>
        </w:rPr>
        <w:t>Legal Citizen Certification</w:t>
      </w:r>
    </w:p>
    <w:p w14:paraId="4EB7FDB4" w14:textId="77777777" w:rsidR="00F5647D" w:rsidRPr="000700CE" w:rsidRDefault="00F5647D">
      <w:pPr>
        <w:rPr>
          <w:rFonts w:asciiTheme="minorHAnsi" w:hAnsiTheme="minorHAnsi" w:cstheme="minorHAnsi"/>
          <w:sz w:val="22"/>
          <w:szCs w:val="22"/>
        </w:rPr>
      </w:pPr>
    </w:p>
    <w:p w14:paraId="2F2A66E5" w14:textId="6A66E557" w:rsidR="003A7F95" w:rsidRPr="000700CE" w:rsidRDefault="00F5647D">
      <w:pPr>
        <w:rPr>
          <w:rFonts w:asciiTheme="minorHAnsi" w:hAnsiTheme="minorHAnsi" w:cstheme="minorHAnsi"/>
          <w:sz w:val="22"/>
          <w:szCs w:val="22"/>
        </w:rPr>
      </w:pPr>
      <w:r w:rsidRPr="000700CE">
        <w:rPr>
          <w:rFonts w:asciiTheme="minorHAnsi" w:hAnsiTheme="minorHAnsi" w:cstheme="minorHAnsi"/>
          <w:sz w:val="22"/>
          <w:szCs w:val="22"/>
        </w:rPr>
        <w:t xml:space="preserve">Under federal law, </w:t>
      </w:r>
      <w:r w:rsidR="000E474D" w:rsidRPr="000700CE">
        <w:rPr>
          <w:rFonts w:asciiTheme="minorHAnsi" w:hAnsiTheme="minorHAnsi" w:cstheme="minorHAnsi"/>
          <w:sz w:val="22"/>
          <w:szCs w:val="22"/>
        </w:rPr>
        <w:t>to</w:t>
      </w:r>
      <w:r w:rsidRPr="000700CE">
        <w:rPr>
          <w:rFonts w:asciiTheme="minorHAnsi" w:hAnsiTheme="minorHAnsi" w:cstheme="minorHAnsi"/>
          <w:sz w:val="22"/>
          <w:szCs w:val="22"/>
        </w:rPr>
        <w:t xml:space="preserve"> qualify for relocation services and payments, you must certify that you are a legal citizen or lawfully present in the United States.</w:t>
      </w:r>
      <w:r w:rsidR="00886438" w:rsidRPr="000700CE">
        <w:rPr>
          <w:rFonts w:asciiTheme="minorHAnsi" w:hAnsiTheme="minorHAnsi" w:cstheme="minorHAnsi"/>
          <w:sz w:val="22"/>
          <w:szCs w:val="22"/>
        </w:rPr>
        <w:t xml:space="preserve"> </w:t>
      </w:r>
      <w:r w:rsidRPr="000700CE">
        <w:rPr>
          <w:rFonts w:asciiTheme="minorHAnsi" w:hAnsiTheme="minorHAnsi" w:cstheme="minorHAnsi"/>
          <w:sz w:val="22"/>
          <w:szCs w:val="22"/>
        </w:rPr>
        <w:t xml:space="preserve"> </w:t>
      </w:r>
      <w:r w:rsidR="00E16B0D" w:rsidRPr="000700CE">
        <w:rPr>
          <w:rFonts w:asciiTheme="minorHAnsi" w:hAnsiTheme="minorHAnsi" w:cstheme="minorHAnsi"/>
          <w:sz w:val="22"/>
          <w:szCs w:val="22"/>
        </w:rPr>
        <w:t xml:space="preserve">Your relocation specialist will review this policy with you and ask you to sign a WisDOT certification form.  Any person who is not lawfully present in the U.S. is not eligible for relocation advisory services and payments.  Please contact your relocation specialist for further information. </w:t>
      </w:r>
    </w:p>
    <w:p w14:paraId="57E46440" w14:textId="6FE6C157" w:rsidR="00E16B0D" w:rsidRPr="000700CE" w:rsidRDefault="00E16B0D">
      <w:pPr>
        <w:rPr>
          <w:rFonts w:asciiTheme="minorHAnsi" w:hAnsiTheme="minorHAnsi" w:cstheme="minorHAnsi"/>
          <w:sz w:val="22"/>
          <w:szCs w:val="22"/>
        </w:rPr>
      </w:pPr>
    </w:p>
    <w:p w14:paraId="02941B7F" w14:textId="50243C22" w:rsidR="00E16B0D" w:rsidRPr="000700CE" w:rsidRDefault="00E16B0D">
      <w:pPr>
        <w:rPr>
          <w:rFonts w:asciiTheme="minorHAnsi" w:hAnsiTheme="minorHAnsi" w:cstheme="minorHAnsi"/>
          <w:b/>
          <w:bCs/>
          <w:i/>
          <w:iCs/>
          <w:sz w:val="22"/>
          <w:szCs w:val="22"/>
        </w:rPr>
      </w:pPr>
      <w:r w:rsidRPr="000700CE">
        <w:rPr>
          <w:rFonts w:asciiTheme="minorHAnsi" w:hAnsiTheme="minorHAnsi" w:cstheme="minorHAnsi"/>
          <w:b/>
          <w:bCs/>
          <w:i/>
          <w:iCs/>
          <w:sz w:val="22"/>
          <w:szCs w:val="22"/>
        </w:rPr>
        <w:t>Personal Property Relocation Types</w:t>
      </w:r>
    </w:p>
    <w:p w14:paraId="71DF1010" w14:textId="77777777" w:rsidR="0045537B" w:rsidRPr="000700CE" w:rsidRDefault="0045537B">
      <w:pPr>
        <w:rPr>
          <w:rFonts w:asciiTheme="minorHAnsi" w:hAnsiTheme="minorHAnsi" w:cstheme="minorHAnsi"/>
          <w:sz w:val="22"/>
          <w:szCs w:val="22"/>
        </w:rPr>
      </w:pPr>
    </w:p>
    <w:p w14:paraId="30B71720" w14:textId="365D6F98" w:rsidR="002D0800" w:rsidRPr="000700CE" w:rsidRDefault="00E16B0D" w:rsidP="00031B20">
      <w:pPr>
        <w:pStyle w:val="ListParagraph"/>
        <w:numPr>
          <w:ilvl w:val="0"/>
          <w:numId w:val="1"/>
        </w:numPr>
        <w:rPr>
          <w:rFonts w:asciiTheme="minorHAnsi" w:hAnsiTheme="minorHAnsi" w:cstheme="minorHAnsi"/>
          <w:sz w:val="22"/>
          <w:szCs w:val="22"/>
        </w:rPr>
      </w:pPr>
      <w:r w:rsidRPr="000700CE">
        <w:rPr>
          <w:rFonts w:asciiTheme="minorHAnsi" w:hAnsiTheme="minorHAnsi" w:cstheme="minorHAnsi"/>
          <w:sz w:val="22"/>
          <w:szCs w:val="22"/>
        </w:rPr>
        <w:t>Business st</w:t>
      </w:r>
      <w:r w:rsidR="00031B20" w:rsidRPr="000700CE">
        <w:rPr>
          <w:rFonts w:asciiTheme="minorHAnsi" w:hAnsiTheme="minorHAnsi" w:cstheme="minorHAnsi"/>
          <w:sz w:val="22"/>
          <w:szCs w:val="22"/>
        </w:rPr>
        <w:t>r</w:t>
      </w:r>
      <w:r w:rsidRPr="000700CE">
        <w:rPr>
          <w:rFonts w:asciiTheme="minorHAnsi" w:hAnsiTheme="minorHAnsi" w:cstheme="minorHAnsi"/>
          <w:sz w:val="22"/>
          <w:szCs w:val="22"/>
        </w:rPr>
        <w:t>ip of land.  Personal property located on a portion of property being acquired, but the business located on the property can still operate after the acquisition.</w:t>
      </w:r>
    </w:p>
    <w:p w14:paraId="3F6899B1" w14:textId="40B36ABF" w:rsidR="00031B20" w:rsidRPr="000700CE" w:rsidRDefault="00031B20" w:rsidP="00031B20">
      <w:pPr>
        <w:pStyle w:val="ListParagraph"/>
        <w:numPr>
          <w:ilvl w:val="0"/>
          <w:numId w:val="1"/>
        </w:numPr>
        <w:rPr>
          <w:rFonts w:asciiTheme="minorHAnsi" w:hAnsiTheme="minorHAnsi" w:cstheme="minorHAnsi"/>
          <w:sz w:val="22"/>
          <w:szCs w:val="22"/>
        </w:rPr>
      </w:pPr>
      <w:r w:rsidRPr="000700CE">
        <w:rPr>
          <w:rFonts w:asciiTheme="minorHAnsi" w:hAnsiTheme="minorHAnsi" w:cstheme="minorHAnsi"/>
          <w:sz w:val="22"/>
          <w:szCs w:val="22"/>
        </w:rPr>
        <w:t>Mini warehouse/self-storage facility.  Personal property being stored within a rented storage unit(s) or rented mailboxes in a storage facility that will be acquired.</w:t>
      </w:r>
    </w:p>
    <w:p w14:paraId="70D843DD" w14:textId="580D5439" w:rsidR="00031B20" w:rsidRPr="000700CE" w:rsidRDefault="00031B20" w:rsidP="00031B20">
      <w:pPr>
        <w:pStyle w:val="ListParagraph"/>
        <w:numPr>
          <w:ilvl w:val="0"/>
          <w:numId w:val="1"/>
        </w:numPr>
        <w:rPr>
          <w:rFonts w:asciiTheme="minorHAnsi" w:hAnsiTheme="minorHAnsi" w:cstheme="minorHAnsi"/>
          <w:sz w:val="22"/>
          <w:szCs w:val="22"/>
        </w:rPr>
      </w:pPr>
      <w:r w:rsidRPr="000700CE">
        <w:rPr>
          <w:rFonts w:asciiTheme="minorHAnsi" w:hAnsiTheme="minorHAnsi" w:cstheme="minorHAnsi"/>
          <w:sz w:val="22"/>
          <w:szCs w:val="22"/>
        </w:rPr>
        <w:t>Residential strip of land.  Personal property located on a portion of property being acquired, but the residence located on the project will not be affected.</w:t>
      </w:r>
    </w:p>
    <w:p w14:paraId="516B46BF" w14:textId="4865AFB9" w:rsidR="00031B20" w:rsidRPr="000700CE" w:rsidRDefault="00031B20" w:rsidP="00031B20">
      <w:pPr>
        <w:pStyle w:val="ListParagraph"/>
        <w:numPr>
          <w:ilvl w:val="0"/>
          <w:numId w:val="1"/>
        </w:numPr>
        <w:rPr>
          <w:rFonts w:asciiTheme="minorHAnsi" w:hAnsiTheme="minorHAnsi" w:cstheme="minorHAnsi"/>
          <w:sz w:val="22"/>
          <w:szCs w:val="22"/>
        </w:rPr>
      </w:pPr>
      <w:r w:rsidRPr="000700CE">
        <w:rPr>
          <w:rFonts w:asciiTheme="minorHAnsi" w:hAnsiTheme="minorHAnsi" w:cstheme="minorHAnsi"/>
          <w:sz w:val="22"/>
          <w:szCs w:val="22"/>
        </w:rPr>
        <w:t>Vacant land.  Personal property stored on property where there is no residence or business.</w:t>
      </w:r>
    </w:p>
    <w:p w14:paraId="001319B0" w14:textId="1B514B3E" w:rsidR="00031B20" w:rsidRPr="000700CE" w:rsidRDefault="00031B20" w:rsidP="00031B20">
      <w:pPr>
        <w:rPr>
          <w:rFonts w:asciiTheme="minorHAnsi" w:hAnsiTheme="minorHAnsi" w:cstheme="minorHAnsi"/>
          <w:sz w:val="22"/>
          <w:szCs w:val="22"/>
        </w:rPr>
      </w:pPr>
    </w:p>
    <w:p w14:paraId="18C057FA" w14:textId="17D24C4A" w:rsidR="00031B20" w:rsidRPr="007043FF" w:rsidRDefault="007043FF" w:rsidP="00031B20">
      <w:pPr>
        <w:rPr>
          <w:rFonts w:asciiTheme="minorHAnsi" w:hAnsiTheme="minorHAnsi" w:cstheme="minorHAnsi"/>
          <w:b/>
          <w:bCs/>
          <w:sz w:val="22"/>
          <w:szCs w:val="22"/>
        </w:rPr>
      </w:pPr>
      <w:r w:rsidRPr="007043FF">
        <w:rPr>
          <w:rFonts w:asciiTheme="minorHAnsi" w:hAnsiTheme="minorHAnsi" w:cstheme="minorHAnsi"/>
          <w:b/>
          <w:bCs/>
          <w:sz w:val="22"/>
          <w:szCs w:val="22"/>
        </w:rPr>
        <w:t xml:space="preserve">PERSONAL PROPERTY </w:t>
      </w:r>
      <w:r w:rsidR="00907E88">
        <w:rPr>
          <w:rFonts w:asciiTheme="minorHAnsi" w:hAnsiTheme="minorHAnsi" w:cstheme="minorHAnsi"/>
          <w:b/>
          <w:bCs/>
          <w:sz w:val="22"/>
          <w:szCs w:val="22"/>
        </w:rPr>
        <w:t xml:space="preserve">MOVE ONLY </w:t>
      </w:r>
      <w:r w:rsidRPr="007043FF">
        <w:rPr>
          <w:rFonts w:asciiTheme="minorHAnsi" w:hAnsiTheme="minorHAnsi" w:cstheme="minorHAnsi"/>
          <w:b/>
          <w:bCs/>
          <w:sz w:val="22"/>
          <w:szCs w:val="22"/>
        </w:rPr>
        <w:t>RELOCATION BENEFITS</w:t>
      </w:r>
    </w:p>
    <w:p w14:paraId="43AD0FDE" w14:textId="61468AE4" w:rsidR="00031B20" w:rsidRPr="000700CE" w:rsidRDefault="00031B20" w:rsidP="00031B20">
      <w:pPr>
        <w:rPr>
          <w:rFonts w:asciiTheme="minorHAnsi" w:hAnsiTheme="minorHAnsi" w:cstheme="minorHAnsi"/>
          <w:sz w:val="22"/>
          <w:szCs w:val="22"/>
        </w:rPr>
      </w:pPr>
    </w:p>
    <w:p w14:paraId="6A4B4576" w14:textId="4DD6D1D1" w:rsidR="00031B20" w:rsidRPr="000700CE" w:rsidRDefault="00031B20" w:rsidP="00031B20">
      <w:pPr>
        <w:rPr>
          <w:rFonts w:asciiTheme="minorHAnsi" w:hAnsiTheme="minorHAnsi" w:cstheme="minorHAnsi"/>
          <w:sz w:val="22"/>
          <w:szCs w:val="22"/>
        </w:rPr>
      </w:pPr>
      <w:r w:rsidRPr="000700CE">
        <w:rPr>
          <w:rFonts w:asciiTheme="minorHAnsi" w:hAnsiTheme="minorHAnsi" w:cstheme="minorHAnsi"/>
          <w:sz w:val="22"/>
          <w:szCs w:val="22"/>
        </w:rPr>
        <w:t>An owner of personal property to be relocated has two options for the move expense, either a commercial move or a self-move.  The owner of the personal property has the discretion to select one option listed below for moving the personal property to a replacement location, including:</w:t>
      </w:r>
    </w:p>
    <w:p w14:paraId="453C12B2" w14:textId="2065A6F1" w:rsidR="00031B20" w:rsidRPr="000700CE" w:rsidRDefault="00031B20" w:rsidP="00031B20">
      <w:pPr>
        <w:pStyle w:val="ListParagraph"/>
        <w:numPr>
          <w:ilvl w:val="0"/>
          <w:numId w:val="2"/>
        </w:numPr>
        <w:rPr>
          <w:rFonts w:asciiTheme="minorHAnsi" w:hAnsiTheme="minorHAnsi" w:cstheme="minorHAnsi"/>
          <w:sz w:val="22"/>
          <w:szCs w:val="22"/>
        </w:rPr>
      </w:pPr>
      <w:r w:rsidRPr="000700CE">
        <w:rPr>
          <w:rFonts w:asciiTheme="minorHAnsi" w:hAnsiTheme="minorHAnsi" w:cstheme="minorHAnsi"/>
          <w:sz w:val="22"/>
          <w:szCs w:val="22"/>
        </w:rPr>
        <w:t xml:space="preserve">Commercial move.  </w:t>
      </w:r>
      <w:r w:rsidR="00DC4FBE" w:rsidRPr="000700CE">
        <w:rPr>
          <w:rFonts w:asciiTheme="minorHAnsi" w:hAnsiTheme="minorHAnsi" w:cstheme="minorHAnsi"/>
          <w:sz w:val="22"/>
          <w:szCs w:val="22"/>
        </w:rPr>
        <w:t xml:space="preserve">This option provides reimbursement for a licensed commercial mover to move your personal property within a 50-mile radius.  Based on the moving estimates, WisDOT will </w:t>
      </w:r>
      <w:r w:rsidR="00DC4FBE" w:rsidRPr="000700CE">
        <w:rPr>
          <w:rFonts w:asciiTheme="minorHAnsi" w:hAnsiTheme="minorHAnsi" w:cstheme="minorHAnsi"/>
          <w:sz w:val="22"/>
          <w:szCs w:val="22"/>
        </w:rPr>
        <w:lastRenderedPageBreak/>
        <w:t>reimburse you for a commercial mover for actual costs of the lowest estimate received.</w:t>
      </w:r>
      <w:r w:rsidRPr="000700CE">
        <w:rPr>
          <w:rFonts w:asciiTheme="minorHAnsi" w:hAnsiTheme="minorHAnsi" w:cstheme="minorHAnsi"/>
          <w:sz w:val="22"/>
          <w:szCs w:val="22"/>
        </w:rPr>
        <w:t xml:space="preserve"> WisDOT will prepare an inventory, including photos</w:t>
      </w:r>
      <w:r w:rsidR="006B4498" w:rsidRPr="000700CE">
        <w:rPr>
          <w:rFonts w:asciiTheme="minorHAnsi" w:hAnsiTheme="minorHAnsi" w:cstheme="minorHAnsi"/>
          <w:sz w:val="22"/>
          <w:szCs w:val="22"/>
        </w:rPr>
        <w:t>,</w:t>
      </w:r>
      <w:r w:rsidRPr="000700CE">
        <w:rPr>
          <w:rFonts w:asciiTheme="minorHAnsi" w:hAnsiTheme="minorHAnsi" w:cstheme="minorHAnsi"/>
          <w:sz w:val="22"/>
          <w:szCs w:val="22"/>
        </w:rPr>
        <w:t xml:space="preserve"> of the items inventoried to be moved.</w:t>
      </w:r>
    </w:p>
    <w:p w14:paraId="049510D1" w14:textId="1CC61A56" w:rsidR="00031B20" w:rsidRPr="000700CE" w:rsidRDefault="00031B20" w:rsidP="00031B20">
      <w:pPr>
        <w:pStyle w:val="ListParagraph"/>
        <w:numPr>
          <w:ilvl w:val="0"/>
          <w:numId w:val="2"/>
        </w:numPr>
        <w:rPr>
          <w:rFonts w:asciiTheme="minorHAnsi" w:hAnsiTheme="minorHAnsi" w:cstheme="minorHAnsi"/>
          <w:sz w:val="22"/>
          <w:szCs w:val="22"/>
        </w:rPr>
      </w:pPr>
      <w:r w:rsidRPr="000700CE">
        <w:rPr>
          <w:rFonts w:asciiTheme="minorHAnsi" w:hAnsiTheme="minorHAnsi" w:cstheme="minorHAnsi"/>
          <w:sz w:val="22"/>
          <w:szCs w:val="22"/>
        </w:rPr>
        <w:t xml:space="preserve">Self-move.  </w:t>
      </w:r>
      <w:r w:rsidR="00E374C4" w:rsidRPr="000700CE">
        <w:rPr>
          <w:rFonts w:asciiTheme="minorHAnsi" w:hAnsiTheme="minorHAnsi" w:cstheme="minorHAnsi"/>
          <w:sz w:val="22"/>
          <w:szCs w:val="22"/>
        </w:rPr>
        <w:t xml:space="preserve">This option allows you to move your personal property yourself instead of using a commercial mover.  </w:t>
      </w:r>
      <w:r w:rsidRPr="000700CE">
        <w:rPr>
          <w:rFonts w:asciiTheme="minorHAnsi" w:hAnsiTheme="minorHAnsi" w:cstheme="minorHAnsi"/>
          <w:sz w:val="22"/>
          <w:szCs w:val="22"/>
        </w:rPr>
        <w:t xml:space="preserve">The personal property owner </w:t>
      </w:r>
      <w:r w:rsidR="00E374C4" w:rsidRPr="000700CE">
        <w:rPr>
          <w:rFonts w:asciiTheme="minorHAnsi" w:hAnsiTheme="minorHAnsi" w:cstheme="minorHAnsi"/>
          <w:sz w:val="22"/>
          <w:szCs w:val="22"/>
        </w:rPr>
        <w:t>will be</w:t>
      </w:r>
      <w:r w:rsidRPr="000700CE">
        <w:rPr>
          <w:rFonts w:asciiTheme="minorHAnsi" w:hAnsiTheme="minorHAnsi" w:cstheme="minorHAnsi"/>
          <w:sz w:val="22"/>
          <w:szCs w:val="22"/>
        </w:rPr>
        <w:t xml:space="preserve"> required to sign a Self-Move Agreement (RE2266) to take full responsibility of the move and will be reimbursed based on the schedules</w:t>
      </w:r>
      <w:r w:rsidR="006B4498" w:rsidRPr="000700CE">
        <w:rPr>
          <w:rFonts w:asciiTheme="minorHAnsi" w:hAnsiTheme="minorHAnsi" w:cstheme="minorHAnsi"/>
          <w:sz w:val="22"/>
          <w:szCs w:val="22"/>
        </w:rPr>
        <w:t xml:space="preserve"> listed below</w:t>
      </w:r>
      <w:r w:rsidRPr="000700CE">
        <w:rPr>
          <w:rFonts w:asciiTheme="minorHAnsi" w:hAnsiTheme="minorHAnsi" w:cstheme="minorHAnsi"/>
          <w:sz w:val="22"/>
          <w:szCs w:val="22"/>
        </w:rPr>
        <w:t>.  WisDOT will reimburse this self-move option after the relocation specialist has inspected</w:t>
      </w:r>
      <w:r w:rsidR="006B4498" w:rsidRPr="000700CE">
        <w:rPr>
          <w:rFonts w:asciiTheme="minorHAnsi" w:hAnsiTheme="minorHAnsi" w:cstheme="minorHAnsi"/>
          <w:sz w:val="22"/>
          <w:szCs w:val="22"/>
        </w:rPr>
        <w:t xml:space="preserve"> the property</w:t>
      </w:r>
      <w:r w:rsidRPr="000700CE">
        <w:rPr>
          <w:rFonts w:asciiTheme="minorHAnsi" w:hAnsiTheme="minorHAnsi" w:cstheme="minorHAnsi"/>
          <w:sz w:val="22"/>
          <w:szCs w:val="22"/>
        </w:rPr>
        <w:t xml:space="preserve"> to ensure its vacancy.</w:t>
      </w:r>
    </w:p>
    <w:p w14:paraId="27309D7C" w14:textId="441BE6BC" w:rsidR="00E374C4" w:rsidRPr="000700CE" w:rsidRDefault="00E374C4" w:rsidP="00E374C4">
      <w:pPr>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4315"/>
        <w:gridCol w:w="4315"/>
      </w:tblGrid>
      <w:tr w:rsidR="00E80C44" w:rsidRPr="000700CE" w14:paraId="60C6F2AC" w14:textId="77777777" w:rsidTr="00154949">
        <w:trPr>
          <w:jc w:val="center"/>
        </w:trPr>
        <w:tc>
          <w:tcPr>
            <w:tcW w:w="8630" w:type="dxa"/>
            <w:gridSpan w:val="2"/>
            <w:shd w:val="clear" w:color="auto" w:fill="E7E6E6" w:themeFill="background2"/>
          </w:tcPr>
          <w:p w14:paraId="585C1CBA" w14:textId="78C32118" w:rsidR="00E80C44" w:rsidRPr="000700CE" w:rsidRDefault="00E80C44" w:rsidP="00E80C44">
            <w:pPr>
              <w:jc w:val="center"/>
              <w:rPr>
                <w:rFonts w:asciiTheme="minorHAnsi" w:hAnsiTheme="minorHAnsi" w:cstheme="minorHAnsi"/>
                <w:sz w:val="22"/>
                <w:szCs w:val="22"/>
              </w:rPr>
            </w:pPr>
            <w:r w:rsidRPr="000700CE">
              <w:rPr>
                <w:rFonts w:asciiTheme="minorHAnsi" w:hAnsiTheme="minorHAnsi" w:cstheme="minorHAnsi"/>
                <w:sz w:val="22"/>
                <w:szCs w:val="22"/>
              </w:rPr>
              <w:t>Schedule of Unit Size and Rates for Self-Moves</w:t>
            </w:r>
          </w:p>
        </w:tc>
      </w:tr>
      <w:tr w:rsidR="00E80C44" w:rsidRPr="000700CE" w14:paraId="6698328A" w14:textId="77777777" w:rsidTr="00154949">
        <w:trPr>
          <w:jc w:val="center"/>
        </w:trPr>
        <w:tc>
          <w:tcPr>
            <w:tcW w:w="4315" w:type="dxa"/>
            <w:shd w:val="clear" w:color="auto" w:fill="E7E6E6" w:themeFill="background2"/>
          </w:tcPr>
          <w:p w14:paraId="4B5887ED" w14:textId="0AFC0068" w:rsidR="00E80C44" w:rsidRPr="000700CE" w:rsidRDefault="00E80C44" w:rsidP="00E80C44">
            <w:pPr>
              <w:jc w:val="center"/>
              <w:rPr>
                <w:rFonts w:asciiTheme="minorHAnsi" w:hAnsiTheme="minorHAnsi" w:cstheme="minorHAnsi"/>
                <w:sz w:val="22"/>
                <w:szCs w:val="22"/>
              </w:rPr>
            </w:pPr>
            <w:r w:rsidRPr="000700CE">
              <w:rPr>
                <w:rFonts w:asciiTheme="minorHAnsi" w:hAnsiTheme="minorHAnsi" w:cstheme="minorHAnsi"/>
                <w:sz w:val="22"/>
                <w:szCs w:val="22"/>
              </w:rPr>
              <w:t>Unit Size</w:t>
            </w:r>
          </w:p>
        </w:tc>
        <w:tc>
          <w:tcPr>
            <w:tcW w:w="4315" w:type="dxa"/>
            <w:shd w:val="clear" w:color="auto" w:fill="E7E6E6" w:themeFill="background2"/>
          </w:tcPr>
          <w:p w14:paraId="1E6367F7" w14:textId="02CD1719" w:rsidR="00E80C44" w:rsidRPr="000700CE" w:rsidRDefault="00E80C44" w:rsidP="00E80C44">
            <w:pPr>
              <w:jc w:val="center"/>
              <w:rPr>
                <w:rFonts w:asciiTheme="minorHAnsi" w:hAnsiTheme="minorHAnsi" w:cstheme="minorHAnsi"/>
                <w:sz w:val="22"/>
                <w:szCs w:val="22"/>
              </w:rPr>
            </w:pPr>
            <w:r w:rsidRPr="000700CE">
              <w:rPr>
                <w:rFonts w:asciiTheme="minorHAnsi" w:hAnsiTheme="minorHAnsi" w:cstheme="minorHAnsi"/>
                <w:sz w:val="22"/>
                <w:szCs w:val="22"/>
              </w:rPr>
              <w:t>Self-Move Reimbursable Rates</w:t>
            </w:r>
          </w:p>
        </w:tc>
      </w:tr>
      <w:tr w:rsidR="00E80C44" w:rsidRPr="000700CE" w14:paraId="2E8A9AEA" w14:textId="77777777" w:rsidTr="00154949">
        <w:trPr>
          <w:jc w:val="center"/>
        </w:trPr>
        <w:tc>
          <w:tcPr>
            <w:tcW w:w="4315" w:type="dxa"/>
          </w:tcPr>
          <w:p w14:paraId="77D7C0BB" w14:textId="390EF611" w:rsidR="00E80C44" w:rsidRPr="000700CE" w:rsidRDefault="00E80C44" w:rsidP="00E80C44">
            <w:pPr>
              <w:jc w:val="center"/>
              <w:rPr>
                <w:rFonts w:asciiTheme="minorHAnsi" w:hAnsiTheme="minorHAnsi" w:cstheme="minorHAnsi"/>
                <w:sz w:val="22"/>
                <w:szCs w:val="22"/>
              </w:rPr>
            </w:pPr>
            <w:r w:rsidRPr="000700CE">
              <w:rPr>
                <w:rFonts w:asciiTheme="minorHAnsi" w:hAnsiTheme="minorHAnsi" w:cstheme="minorHAnsi"/>
                <w:sz w:val="22"/>
                <w:szCs w:val="22"/>
              </w:rPr>
              <w:t>50 sq. feet or under</w:t>
            </w:r>
          </w:p>
        </w:tc>
        <w:tc>
          <w:tcPr>
            <w:tcW w:w="4315" w:type="dxa"/>
          </w:tcPr>
          <w:p w14:paraId="2B09B5A7" w14:textId="52BC7D64" w:rsidR="00E80C44" w:rsidRPr="000700CE" w:rsidRDefault="00E80C44" w:rsidP="00E80C44">
            <w:pPr>
              <w:jc w:val="center"/>
              <w:rPr>
                <w:rFonts w:asciiTheme="minorHAnsi" w:hAnsiTheme="minorHAnsi" w:cstheme="minorHAnsi"/>
                <w:sz w:val="22"/>
                <w:szCs w:val="22"/>
              </w:rPr>
            </w:pPr>
            <w:r w:rsidRPr="000700CE">
              <w:rPr>
                <w:rFonts w:asciiTheme="minorHAnsi" w:hAnsiTheme="minorHAnsi" w:cstheme="minorHAnsi"/>
                <w:sz w:val="22"/>
                <w:szCs w:val="22"/>
              </w:rPr>
              <w:t>$200</w:t>
            </w:r>
          </w:p>
        </w:tc>
      </w:tr>
      <w:tr w:rsidR="00E80C44" w:rsidRPr="000700CE" w14:paraId="20FA614C" w14:textId="77777777" w:rsidTr="00154949">
        <w:trPr>
          <w:jc w:val="center"/>
        </w:trPr>
        <w:tc>
          <w:tcPr>
            <w:tcW w:w="4315" w:type="dxa"/>
          </w:tcPr>
          <w:p w14:paraId="1665D548" w14:textId="379289B3" w:rsidR="00E80C44" w:rsidRPr="000700CE" w:rsidRDefault="00E80C44" w:rsidP="00E80C44">
            <w:pPr>
              <w:jc w:val="center"/>
              <w:rPr>
                <w:rFonts w:asciiTheme="minorHAnsi" w:hAnsiTheme="minorHAnsi" w:cstheme="minorHAnsi"/>
                <w:sz w:val="22"/>
                <w:szCs w:val="22"/>
              </w:rPr>
            </w:pPr>
            <w:r w:rsidRPr="000700CE">
              <w:rPr>
                <w:rFonts w:asciiTheme="minorHAnsi" w:hAnsiTheme="minorHAnsi" w:cstheme="minorHAnsi"/>
                <w:sz w:val="22"/>
                <w:szCs w:val="22"/>
              </w:rPr>
              <w:t>51 sq. feet – 100 sq. feet</w:t>
            </w:r>
          </w:p>
        </w:tc>
        <w:tc>
          <w:tcPr>
            <w:tcW w:w="4315" w:type="dxa"/>
          </w:tcPr>
          <w:p w14:paraId="5BB3EF90" w14:textId="6BE87D12" w:rsidR="00E80C44" w:rsidRPr="000700CE" w:rsidRDefault="00E80C44" w:rsidP="00E80C44">
            <w:pPr>
              <w:jc w:val="center"/>
              <w:rPr>
                <w:rFonts w:asciiTheme="minorHAnsi" w:hAnsiTheme="minorHAnsi" w:cstheme="minorHAnsi"/>
                <w:sz w:val="22"/>
                <w:szCs w:val="22"/>
              </w:rPr>
            </w:pPr>
            <w:r w:rsidRPr="000700CE">
              <w:rPr>
                <w:rFonts w:asciiTheme="minorHAnsi" w:hAnsiTheme="minorHAnsi" w:cstheme="minorHAnsi"/>
                <w:sz w:val="22"/>
                <w:szCs w:val="22"/>
              </w:rPr>
              <w:t>$350</w:t>
            </w:r>
          </w:p>
        </w:tc>
      </w:tr>
      <w:tr w:rsidR="00E80C44" w:rsidRPr="000700CE" w14:paraId="0BFE605A" w14:textId="77777777" w:rsidTr="00154949">
        <w:trPr>
          <w:jc w:val="center"/>
        </w:trPr>
        <w:tc>
          <w:tcPr>
            <w:tcW w:w="4315" w:type="dxa"/>
          </w:tcPr>
          <w:p w14:paraId="40736F5C" w14:textId="4D7589CC" w:rsidR="00E80C44" w:rsidRPr="000700CE" w:rsidRDefault="00E80C44" w:rsidP="00E80C44">
            <w:pPr>
              <w:jc w:val="center"/>
              <w:rPr>
                <w:rFonts w:asciiTheme="minorHAnsi" w:hAnsiTheme="minorHAnsi" w:cstheme="minorHAnsi"/>
                <w:sz w:val="22"/>
                <w:szCs w:val="22"/>
              </w:rPr>
            </w:pPr>
            <w:r w:rsidRPr="000700CE">
              <w:rPr>
                <w:rFonts w:asciiTheme="minorHAnsi" w:hAnsiTheme="minorHAnsi" w:cstheme="minorHAnsi"/>
                <w:sz w:val="22"/>
                <w:szCs w:val="22"/>
              </w:rPr>
              <w:t>101 sq. feet – 200 sq. feet</w:t>
            </w:r>
          </w:p>
        </w:tc>
        <w:tc>
          <w:tcPr>
            <w:tcW w:w="4315" w:type="dxa"/>
          </w:tcPr>
          <w:p w14:paraId="2783F297" w14:textId="37779E44" w:rsidR="00E80C44" w:rsidRPr="000700CE" w:rsidRDefault="00E80C44" w:rsidP="00E80C44">
            <w:pPr>
              <w:jc w:val="center"/>
              <w:rPr>
                <w:rFonts w:asciiTheme="minorHAnsi" w:hAnsiTheme="minorHAnsi" w:cstheme="minorHAnsi"/>
                <w:sz w:val="22"/>
                <w:szCs w:val="22"/>
              </w:rPr>
            </w:pPr>
            <w:r w:rsidRPr="000700CE">
              <w:rPr>
                <w:rFonts w:asciiTheme="minorHAnsi" w:hAnsiTheme="minorHAnsi" w:cstheme="minorHAnsi"/>
                <w:sz w:val="22"/>
                <w:szCs w:val="22"/>
              </w:rPr>
              <w:t>$500</w:t>
            </w:r>
          </w:p>
        </w:tc>
      </w:tr>
      <w:tr w:rsidR="00E80C44" w:rsidRPr="000700CE" w14:paraId="683C1750" w14:textId="77777777" w:rsidTr="00154949">
        <w:trPr>
          <w:jc w:val="center"/>
        </w:trPr>
        <w:tc>
          <w:tcPr>
            <w:tcW w:w="4315" w:type="dxa"/>
          </w:tcPr>
          <w:p w14:paraId="38C319D6" w14:textId="2D57E9A2" w:rsidR="00E80C44" w:rsidRPr="000700CE" w:rsidRDefault="00E80C44" w:rsidP="00E80C44">
            <w:pPr>
              <w:jc w:val="center"/>
              <w:rPr>
                <w:rFonts w:asciiTheme="minorHAnsi" w:hAnsiTheme="minorHAnsi" w:cstheme="minorHAnsi"/>
                <w:sz w:val="22"/>
                <w:szCs w:val="22"/>
              </w:rPr>
            </w:pPr>
            <w:r w:rsidRPr="000700CE">
              <w:rPr>
                <w:rFonts w:asciiTheme="minorHAnsi" w:hAnsiTheme="minorHAnsi" w:cstheme="minorHAnsi"/>
                <w:sz w:val="22"/>
                <w:szCs w:val="22"/>
              </w:rPr>
              <w:t>201 sq. feet – 300 sq. feet</w:t>
            </w:r>
          </w:p>
        </w:tc>
        <w:tc>
          <w:tcPr>
            <w:tcW w:w="4315" w:type="dxa"/>
          </w:tcPr>
          <w:p w14:paraId="2FC308F9" w14:textId="1291E819" w:rsidR="00E80C44" w:rsidRPr="000700CE" w:rsidRDefault="00E80C44" w:rsidP="00E80C44">
            <w:pPr>
              <w:jc w:val="center"/>
              <w:rPr>
                <w:rFonts w:asciiTheme="minorHAnsi" w:hAnsiTheme="minorHAnsi" w:cstheme="minorHAnsi"/>
                <w:sz w:val="22"/>
                <w:szCs w:val="22"/>
              </w:rPr>
            </w:pPr>
            <w:r w:rsidRPr="000700CE">
              <w:rPr>
                <w:rFonts w:asciiTheme="minorHAnsi" w:hAnsiTheme="minorHAnsi" w:cstheme="minorHAnsi"/>
                <w:sz w:val="22"/>
                <w:szCs w:val="22"/>
              </w:rPr>
              <w:t>$750</w:t>
            </w:r>
          </w:p>
        </w:tc>
      </w:tr>
      <w:tr w:rsidR="00E80C44" w:rsidRPr="000700CE" w14:paraId="4F41F4AB" w14:textId="77777777" w:rsidTr="00154949">
        <w:trPr>
          <w:jc w:val="center"/>
        </w:trPr>
        <w:tc>
          <w:tcPr>
            <w:tcW w:w="4315" w:type="dxa"/>
          </w:tcPr>
          <w:p w14:paraId="6457569D" w14:textId="17D5595F" w:rsidR="00E80C44" w:rsidRPr="000700CE" w:rsidRDefault="00E80C44" w:rsidP="00E80C44">
            <w:pPr>
              <w:jc w:val="center"/>
              <w:rPr>
                <w:rFonts w:asciiTheme="minorHAnsi" w:hAnsiTheme="minorHAnsi" w:cstheme="minorHAnsi"/>
                <w:sz w:val="22"/>
                <w:szCs w:val="22"/>
              </w:rPr>
            </w:pPr>
            <w:r w:rsidRPr="000700CE">
              <w:rPr>
                <w:rFonts w:asciiTheme="minorHAnsi" w:hAnsiTheme="minorHAnsi" w:cstheme="minorHAnsi"/>
                <w:sz w:val="22"/>
                <w:szCs w:val="22"/>
              </w:rPr>
              <w:t>Over 300 sq. feet</w:t>
            </w:r>
          </w:p>
        </w:tc>
        <w:tc>
          <w:tcPr>
            <w:tcW w:w="4315" w:type="dxa"/>
          </w:tcPr>
          <w:p w14:paraId="0A1372A6" w14:textId="77777777" w:rsidR="00E80C44" w:rsidRPr="000700CE" w:rsidRDefault="00E80C44" w:rsidP="00E80C44">
            <w:pPr>
              <w:jc w:val="center"/>
              <w:rPr>
                <w:rFonts w:asciiTheme="minorHAnsi" w:hAnsiTheme="minorHAnsi" w:cstheme="minorHAnsi"/>
                <w:sz w:val="22"/>
                <w:szCs w:val="22"/>
              </w:rPr>
            </w:pPr>
            <w:r w:rsidRPr="000700CE">
              <w:rPr>
                <w:rFonts w:asciiTheme="minorHAnsi" w:hAnsiTheme="minorHAnsi" w:cstheme="minorHAnsi"/>
                <w:sz w:val="22"/>
                <w:szCs w:val="22"/>
              </w:rPr>
              <w:t>Add square footage from unit sizes above</w:t>
            </w:r>
          </w:p>
          <w:p w14:paraId="05A2BD39" w14:textId="66292CDF" w:rsidR="00E80C44" w:rsidRPr="000700CE" w:rsidRDefault="00E80C44" w:rsidP="00E80C44">
            <w:pPr>
              <w:jc w:val="center"/>
              <w:rPr>
                <w:rFonts w:asciiTheme="minorHAnsi" w:hAnsiTheme="minorHAnsi" w:cstheme="minorHAnsi"/>
                <w:sz w:val="22"/>
                <w:szCs w:val="22"/>
              </w:rPr>
            </w:pPr>
            <w:r w:rsidRPr="000700CE">
              <w:rPr>
                <w:rFonts w:asciiTheme="minorHAnsi" w:hAnsiTheme="minorHAnsi" w:cstheme="minorHAnsi"/>
                <w:sz w:val="22"/>
                <w:szCs w:val="22"/>
              </w:rPr>
              <w:t>[Example: 350 SF unit is $950]</w:t>
            </w:r>
          </w:p>
        </w:tc>
      </w:tr>
    </w:tbl>
    <w:p w14:paraId="7D6F8885" w14:textId="3AD5486F" w:rsidR="00E80C44" w:rsidRPr="000700CE" w:rsidRDefault="00E80C44" w:rsidP="00E374C4">
      <w:pPr>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6115"/>
        <w:gridCol w:w="2515"/>
      </w:tblGrid>
      <w:tr w:rsidR="00E80C44" w:rsidRPr="000700CE" w14:paraId="0B84E97D" w14:textId="77777777" w:rsidTr="00154949">
        <w:trPr>
          <w:jc w:val="center"/>
        </w:trPr>
        <w:tc>
          <w:tcPr>
            <w:tcW w:w="8630" w:type="dxa"/>
            <w:gridSpan w:val="2"/>
            <w:shd w:val="clear" w:color="auto" w:fill="E7E6E6" w:themeFill="background2"/>
          </w:tcPr>
          <w:p w14:paraId="2D0748E9" w14:textId="107A8746" w:rsidR="00E80C44" w:rsidRPr="000700CE" w:rsidRDefault="00E80C44" w:rsidP="00E374C4">
            <w:pPr>
              <w:rPr>
                <w:rFonts w:asciiTheme="minorHAnsi" w:hAnsiTheme="minorHAnsi" w:cstheme="minorHAnsi"/>
                <w:sz w:val="22"/>
                <w:szCs w:val="22"/>
              </w:rPr>
            </w:pPr>
            <w:r w:rsidRPr="000700CE">
              <w:rPr>
                <w:rFonts w:asciiTheme="minorHAnsi" w:hAnsiTheme="minorHAnsi" w:cstheme="minorHAnsi"/>
                <w:sz w:val="22"/>
                <w:szCs w:val="22"/>
              </w:rPr>
              <w:t>Schedule of Itemized Personal Property for Self-Move Reimbursement</w:t>
            </w:r>
          </w:p>
        </w:tc>
      </w:tr>
      <w:tr w:rsidR="00E80C44" w:rsidRPr="000700CE" w14:paraId="1ECE31EA" w14:textId="77777777" w:rsidTr="00154949">
        <w:trPr>
          <w:jc w:val="center"/>
        </w:trPr>
        <w:tc>
          <w:tcPr>
            <w:tcW w:w="6115" w:type="dxa"/>
          </w:tcPr>
          <w:p w14:paraId="04FE27E5" w14:textId="687FAD46" w:rsidR="00E80C44" w:rsidRPr="000700CE" w:rsidRDefault="00E80C44" w:rsidP="00E374C4">
            <w:pPr>
              <w:rPr>
                <w:rFonts w:asciiTheme="minorHAnsi" w:hAnsiTheme="minorHAnsi" w:cstheme="minorHAnsi"/>
                <w:sz w:val="22"/>
                <w:szCs w:val="22"/>
              </w:rPr>
            </w:pPr>
            <w:r w:rsidRPr="000700CE">
              <w:rPr>
                <w:rFonts w:asciiTheme="minorHAnsi" w:hAnsiTheme="minorHAnsi" w:cstheme="minorHAnsi"/>
                <w:sz w:val="22"/>
                <w:szCs w:val="22"/>
              </w:rPr>
              <w:t>Operational vehicles</w:t>
            </w:r>
          </w:p>
        </w:tc>
        <w:tc>
          <w:tcPr>
            <w:tcW w:w="2515" w:type="dxa"/>
          </w:tcPr>
          <w:p w14:paraId="254D3A9C" w14:textId="4873E445" w:rsidR="00E80C44" w:rsidRPr="000700CE" w:rsidRDefault="00E80C44" w:rsidP="00E374C4">
            <w:pPr>
              <w:rPr>
                <w:rFonts w:asciiTheme="minorHAnsi" w:hAnsiTheme="minorHAnsi" w:cstheme="minorHAnsi"/>
                <w:sz w:val="22"/>
                <w:szCs w:val="22"/>
              </w:rPr>
            </w:pPr>
            <w:r w:rsidRPr="000700CE">
              <w:rPr>
                <w:rFonts w:asciiTheme="minorHAnsi" w:hAnsiTheme="minorHAnsi" w:cstheme="minorHAnsi"/>
                <w:sz w:val="22"/>
                <w:szCs w:val="22"/>
              </w:rPr>
              <w:t>$25 per vehicle</w:t>
            </w:r>
          </w:p>
        </w:tc>
      </w:tr>
      <w:tr w:rsidR="00E80C44" w:rsidRPr="000700CE" w14:paraId="3D20DA2D" w14:textId="77777777" w:rsidTr="00154949">
        <w:trPr>
          <w:jc w:val="center"/>
        </w:trPr>
        <w:tc>
          <w:tcPr>
            <w:tcW w:w="6115" w:type="dxa"/>
          </w:tcPr>
          <w:p w14:paraId="675D9D2C" w14:textId="133BE8AF" w:rsidR="00E80C44" w:rsidRPr="000700CE" w:rsidRDefault="00E80C44" w:rsidP="00E374C4">
            <w:pPr>
              <w:rPr>
                <w:rFonts w:asciiTheme="minorHAnsi" w:hAnsiTheme="minorHAnsi" w:cstheme="minorHAnsi"/>
                <w:sz w:val="22"/>
                <w:szCs w:val="22"/>
              </w:rPr>
            </w:pPr>
            <w:r w:rsidRPr="000700CE">
              <w:rPr>
                <w:rFonts w:asciiTheme="minorHAnsi" w:hAnsiTheme="minorHAnsi" w:cstheme="minorHAnsi"/>
                <w:sz w:val="22"/>
                <w:szCs w:val="22"/>
              </w:rPr>
              <w:t>Boats/trailers, utility trailers, and fifth wheel trailers</w:t>
            </w:r>
          </w:p>
        </w:tc>
        <w:tc>
          <w:tcPr>
            <w:tcW w:w="2515" w:type="dxa"/>
          </w:tcPr>
          <w:p w14:paraId="0D637F8C" w14:textId="57C0155E" w:rsidR="00E80C44" w:rsidRPr="000700CE" w:rsidRDefault="00E80C44" w:rsidP="00E374C4">
            <w:pPr>
              <w:rPr>
                <w:rFonts w:asciiTheme="minorHAnsi" w:hAnsiTheme="minorHAnsi" w:cstheme="minorHAnsi"/>
                <w:sz w:val="22"/>
                <w:szCs w:val="22"/>
              </w:rPr>
            </w:pPr>
            <w:r w:rsidRPr="000700CE">
              <w:rPr>
                <w:rFonts w:asciiTheme="minorHAnsi" w:hAnsiTheme="minorHAnsi" w:cstheme="minorHAnsi"/>
                <w:sz w:val="22"/>
                <w:szCs w:val="22"/>
              </w:rPr>
              <w:t>$150 each</w:t>
            </w:r>
          </w:p>
        </w:tc>
      </w:tr>
      <w:tr w:rsidR="00E80C44" w:rsidRPr="000700CE" w14:paraId="426B7A35" w14:textId="77777777" w:rsidTr="00154949">
        <w:trPr>
          <w:jc w:val="center"/>
        </w:trPr>
        <w:tc>
          <w:tcPr>
            <w:tcW w:w="6115" w:type="dxa"/>
          </w:tcPr>
          <w:p w14:paraId="305ED2A8" w14:textId="7B65E8B7" w:rsidR="00E80C44" w:rsidRPr="000700CE" w:rsidRDefault="00E80C44" w:rsidP="00E374C4">
            <w:pPr>
              <w:rPr>
                <w:rFonts w:asciiTheme="minorHAnsi" w:hAnsiTheme="minorHAnsi" w:cstheme="minorHAnsi"/>
                <w:sz w:val="22"/>
                <w:szCs w:val="22"/>
              </w:rPr>
            </w:pPr>
            <w:r w:rsidRPr="000700CE">
              <w:rPr>
                <w:rFonts w:asciiTheme="minorHAnsi" w:hAnsiTheme="minorHAnsi" w:cstheme="minorHAnsi"/>
                <w:sz w:val="22"/>
                <w:szCs w:val="22"/>
              </w:rPr>
              <w:t>Non-operating vehicles or any other item requiring towing</w:t>
            </w:r>
          </w:p>
        </w:tc>
        <w:tc>
          <w:tcPr>
            <w:tcW w:w="2515" w:type="dxa"/>
          </w:tcPr>
          <w:p w14:paraId="40C4367F" w14:textId="33C05781" w:rsidR="00E80C44" w:rsidRPr="000700CE" w:rsidRDefault="00E80C44" w:rsidP="00E374C4">
            <w:pPr>
              <w:rPr>
                <w:rFonts w:asciiTheme="minorHAnsi" w:hAnsiTheme="minorHAnsi" w:cstheme="minorHAnsi"/>
                <w:sz w:val="22"/>
                <w:szCs w:val="22"/>
              </w:rPr>
            </w:pPr>
            <w:r w:rsidRPr="000700CE">
              <w:rPr>
                <w:rFonts w:asciiTheme="minorHAnsi" w:hAnsiTheme="minorHAnsi" w:cstheme="minorHAnsi"/>
                <w:sz w:val="22"/>
                <w:szCs w:val="22"/>
              </w:rPr>
              <w:t>$150 per trailer</w:t>
            </w:r>
          </w:p>
        </w:tc>
      </w:tr>
      <w:tr w:rsidR="00E80C44" w:rsidRPr="000700CE" w14:paraId="535BEBDE" w14:textId="77777777" w:rsidTr="00154949">
        <w:trPr>
          <w:jc w:val="center"/>
        </w:trPr>
        <w:tc>
          <w:tcPr>
            <w:tcW w:w="6115" w:type="dxa"/>
          </w:tcPr>
          <w:p w14:paraId="303C1574" w14:textId="266A143C" w:rsidR="00E80C44" w:rsidRPr="000700CE" w:rsidRDefault="00E80C44" w:rsidP="00E374C4">
            <w:pPr>
              <w:rPr>
                <w:rFonts w:asciiTheme="minorHAnsi" w:hAnsiTheme="minorHAnsi" w:cstheme="minorHAnsi"/>
                <w:sz w:val="22"/>
                <w:szCs w:val="22"/>
              </w:rPr>
            </w:pPr>
            <w:r w:rsidRPr="000700CE">
              <w:rPr>
                <w:rFonts w:asciiTheme="minorHAnsi" w:hAnsiTheme="minorHAnsi" w:cstheme="minorHAnsi"/>
                <w:sz w:val="22"/>
                <w:szCs w:val="22"/>
              </w:rPr>
              <w:t>Appliances</w:t>
            </w:r>
          </w:p>
        </w:tc>
        <w:tc>
          <w:tcPr>
            <w:tcW w:w="2515" w:type="dxa"/>
          </w:tcPr>
          <w:p w14:paraId="0C0FC096" w14:textId="51EAF21D" w:rsidR="00E80C44" w:rsidRPr="000700CE" w:rsidRDefault="00E80C44" w:rsidP="00E374C4">
            <w:pPr>
              <w:rPr>
                <w:rFonts w:asciiTheme="minorHAnsi" w:hAnsiTheme="minorHAnsi" w:cstheme="minorHAnsi"/>
                <w:sz w:val="22"/>
                <w:szCs w:val="22"/>
              </w:rPr>
            </w:pPr>
            <w:r w:rsidRPr="000700CE">
              <w:rPr>
                <w:rFonts w:asciiTheme="minorHAnsi" w:hAnsiTheme="minorHAnsi" w:cstheme="minorHAnsi"/>
                <w:sz w:val="22"/>
                <w:szCs w:val="22"/>
              </w:rPr>
              <w:t>$50 per appliance</w:t>
            </w:r>
          </w:p>
        </w:tc>
      </w:tr>
      <w:tr w:rsidR="00E80C44" w:rsidRPr="000700CE" w14:paraId="2FF1DBC5" w14:textId="77777777" w:rsidTr="00154949">
        <w:trPr>
          <w:jc w:val="center"/>
        </w:trPr>
        <w:tc>
          <w:tcPr>
            <w:tcW w:w="6115" w:type="dxa"/>
          </w:tcPr>
          <w:p w14:paraId="08749864" w14:textId="4AD798B3" w:rsidR="00E80C44" w:rsidRPr="000700CE" w:rsidRDefault="00E80C44" w:rsidP="00E374C4">
            <w:pPr>
              <w:rPr>
                <w:rFonts w:asciiTheme="minorHAnsi" w:hAnsiTheme="minorHAnsi" w:cstheme="minorHAnsi"/>
                <w:sz w:val="22"/>
                <w:szCs w:val="22"/>
              </w:rPr>
            </w:pPr>
            <w:r w:rsidRPr="000700CE">
              <w:rPr>
                <w:rFonts w:asciiTheme="minorHAnsi" w:hAnsiTheme="minorHAnsi" w:cstheme="minorHAnsi"/>
                <w:sz w:val="22"/>
                <w:szCs w:val="22"/>
              </w:rPr>
              <w:t xml:space="preserve">Other fixtures/personal property </w:t>
            </w:r>
          </w:p>
        </w:tc>
        <w:tc>
          <w:tcPr>
            <w:tcW w:w="2515" w:type="dxa"/>
          </w:tcPr>
          <w:p w14:paraId="7C06E7A7" w14:textId="1162B496" w:rsidR="00E80C44" w:rsidRPr="000700CE" w:rsidRDefault="00E80C44" w:rsidP="00E374C4">
            <w:pPr>
              <w:rPr>
                <w:rFonts w:asciiTheme="minorHAnsi" w:hAnsiTheme="minorHAnsi" w:cstheme="minorHAnsi"/>
                <w:sz w:val="22"/>
                <w:szCs w:val="22"/>
              </w:rPr>
            </w:pPr>
            <w:r w:rsidRPr="000700CE">
              <w:rPr>
                <w:rFonts w:asciiTheme="minorHAnsi" w:hAnsiTheme="minorHAnsi" w:cstheme="minorHAnsi"/>
                <w:sz w:val="22"/>
                <w:szCs w:val="22"/>
              </w:rPr>
              <w:t>$25 per item</w:t>
            </w:r>
          </w:p>
        </w:tc>
      </w:tr>
    </w:tbl>
    <w:p w14:paraId="23489661" w14:textId="32BDC8BA" w:rsidR="00E80C44" w:rsidRPr="000700CE" w:rsidRDefault="00E80C44" w:rsidP="00E374C4">
      <w:pPr>
        <w:rPr>
          <w:rFonts w:asciiTheme="minorHAnsi" w:hAnsiTheme="minorHAnsi" w:cstheme="minorHAnsi"/>
          <w:sz w:val="22"/>
          <w:szCs w:val="22"/>
        </w:rPr>
      </w:pPr>
    </w:p>
    <w:p w14:paraId="33BDECA1" w14:textId="5019DA5A" w:rsidR="00E374C4" w:rsidRPr="000700CE" w:rsidRDefault="00E374C4" w:rsidP="00E374C4">
      <w:pPr>
        <w:rPr>
          <w:rFonts w:asciiTheme="minorHAnsi" w:hAnsiTheme="minorHAnsi" w:cstheme="minorHAnsi"/>
          <w:sz w:val="22"/>
          <w:szCs w:val="22"/>
        </w:rPr>
      </w:pPr>
      <w:r w:rsidRPr="000700CE">
        <w:rPr>
          <w:rFonts w:asciiTheme="minorHAnsi" w:hAnsiTheme="minorHAnsi" w:cstheme="minorHAnsi"/>
          <w:sz w:val="22"/>
          <w:szCs w:val="22"/>
        </w:rPr>
        <w:t>WisDOT is available to assist you in your move.  You are strongly encouraged to work closely with you</w:t>
      </w:r>
      <w:r w:rsidR="00660DD1" w:rsidRPr="000700CE">
        <w:rPr>
          <w:rFonts w:asciiTheme="minorHAnsi" w:hAnsiTheme="minorHAnsi" w:cstheme="minorHAnsi"/>
          <w:sz w:val="22"/>
          <w:szCs w:val="22"/>
        </w:rPr>
        <w:t>r</w:t>
      </w:r>
      <w:r w:rsidRPr="000700CE">
        <w:rPr>
          <w:rFonts w:asciiTheme="minorHAnsi" w:hAnsiTheme="minorHAnsi" w:cstheme="minorHAnsi"/>
          <w:sz w:val="22"/>
          <w:szCs w:val="22"/>
        </w:rPr>
        <w:t xml:space="preserve"> assigned relocation specialist in planning your move.  Prior to proceeding with a move, please notify your relocation specialist of the date and time.</w:t>
      </w:r>
    </w:p>
    <w:p w14:paraId="017D86FE" w14:textId="0BA804BF" w:rsidR="00031B20" w:rsidRPr="000700CE" w:rsidRDefault="00031B20" w:rsidP="00031B20">
      <w:pPr>
        <w:rPr>
          <w:rFonts w:asciiTheme="minorHAnsi" w:hAnsiTheme="minorHAnsi" w:cstheme="minorHAnsi"/>
          <w:sz w:val="22"/>
          <w:szCs w:val="22"/>
        </w:rPr>
      </w:pPr>
    </w:p>
    <w:p w14:paraId="47CABDCC" w14:textId="53556E19" w:rsidR="00031B20" w:rsidRPr="000700CE" w:rsidRDefault="00031B20" w:rsidP="00031B20">
      <w:pPr>
        <w:rPr>
          <w:rFonts w:asciiTheme="minorHAnsi" w:hAnsiTheme="minorHAnsi" w:cstheme="minorHAnsi"/>
          <w:b/>
          <w:bCs/>
          <w:i/>
          <w:iCs/>
          <w:sz w:val="22"/>
          <w:szCs w:val="22"/>
        </w:rPr>
      </w:pPr>
      <w:r w:rsidRPr="000700CE">
        <w:rPr>
          <w:rFonts w:asciiTheme="minorHAnsi" w:hAnsiTheme="minorHAnsi" w:cstheme="minorHAnsi"/>
          <w:b/>
          <w:bCs/>
          <w:i/>
          <w:iCs/>
          <w:sz w:val="22"/>
          <w:szCs w:val="22"/>
        </w:rPr>
        <w:t>General Procedure</w:t>
      </w:r>
    </w:p>
    <w:p w14:paraId="0F6D9EBC" w14:textId="7B6F4A1D" w:rsidR="00031B20" w:rsidRPr="000700CE" w:rsidRDefault="00031B20" w:rsidP="00031B20">
      <w:pPr>
        <w:rPr>
          <w:rFonts w:asciiTheme="minorHAnsi" w:hAnsiTheme="minorHAnsi" w:cstheme="minorHAnsi"/>
          <w:sz w:val="22"/>
          <w:szCs w:val="22"/>
        </w:rPr>
      </w:pPr>
    </w:p>
    <w:p w14:paraId="777B4719" w14:textId="4799CA8E" w:rsidR="00031B20" w:rsidRPr="000700CE" w:rsidRDefault="00031B20" w:rsidP="00B53060">
      <w:pPr>
        <w:pStyle w:val="ListParagraph"/>
        <w:numPr>
          <w:ilvl w:val="0"/>
          <w:numId w:val="3"/>
        </w:numPr>
        <w:rPr>
          <w:rFonts w:asciiTheme="minorHAnsi" w:hAnsiTheme="minorHAnsi" w:cstheme="minorHAnsi"/>
          <w:sz w:val="22"/>
          <w:szCs w:val="22"/>
        </w:rPr>
      </w:pPr>
      <w:r w:rsidRPr="000700CE">
        <w:rPr>
          <w:rFonts w:asciiTheme="minorHAnsi" w:hAnsiTheme="minorHAnsi" w:cstheme="minorHAnsi"/>
          <w:sz w:val="22"/>
          <w:szCs w:val="22"/>
        </w:rPr>
        <w:t xml:space="preserve">The relocation specialist will </w:t>
      </w:r>
      <w:r w:rsidR="00D008CB" w:rsidRPr="000700CE">
        <w:rPr>
          <w:rFonts w:asciiTheme="minorHAnsi" w:hAnsiTheme="minorHAnsi" w:cstheme="minorHAnsi"/>
          <w:sz w:val="22"/>
          <w:szCs w:val="22"/>
        </w:rPr>
        <w:t xml:space="preserve">set up an interview where they will observe the items to be moved, take </w:t>
      </w:r>
      <w:proofErr w:type="gramStart"/>
      <w:r w:rsidR="00D008CB" w:rsidRPr="000700CE">
        <w:rPr>
          <w:rFonts w:asciiTheme="minorHAnsi" w:hAnsiTheme="minorHAnsi" w:cstheme="minorHAnsi"/>
          <w:sz w:val="22"/>
          <w:szCs w:val="22"/>
        </w:rPr>
        <w:t>pictures</w:t>
      </w:r>
      <w:proofErr w:type="gramEnd"/>
      <w:r w:rsidR="00D008CB" w:rsidRPr="000700CE">
        <w:rPr>
          <w:rFonts w:asciiTheme="minorHAnsi" w:hAnsiTheme="minorHAnsi" w:cstheme="minorHAnsi"/>
          <w:sz w:val="22"/>
          <w:szCs w:val="22"/>
        </w:rPr>
        <w:t xml:space="preserve"> and create an inventory list. </w:t>
      </w:r>
      <w:r w:rsidRPr="000700CE">
        <w:rPr>
          <w:rFonts w:asciiTheme="minorHAnsi" w:hAnsiTheme="minorHAnsi" w:cstheme="minorHAnsi"/>
          <w:sz w:val="22"/>
          <w:szCs w:val="22"/>
        </w:rPr>
        <w:t xml:space="preserve">  </w:t>
      </w:r>
    </w:p>
    <w:p w14:paraId="6499A556" w14:textId="25123C23" w:rsidR="00B53060" w:rsidRPr="000700CE" w:rsidRDefault="00B53060" w:rsidP="00B53060">
      <w:pPr>
        <w:pStyle w:val="ListParagraph"/>
        <w:numPr>
          <w:ilvl w:val="0"/>
          <w:numId w:val="3"/>
        </w:numPr>
        <w:rPr>
          <w:rFonts w:asciiTheme="minorHAnsi" w:hAnsiTheme="minorHAnsi" w:cstheme="minorHAnsi"/>
          <w:sz w:val="22"/>
          <w:szCs w:val="22"/>
        </w:rPr>
      </w:pPr>
      <w:r w:rsidRPr="000700CE">
        <w:rPr>
          <w:rFonts w:asciiTheme="minorHAnsi" w:hAnsiTheme="minorHAnsi" w:cstheme="minorHAnsi"/>
          <w:sz w:val="22"/>
          <w:szCs w:val="22"/>
        </w:rPr>
        <w:t xml:space="preserve">The relocation specialist will </w:t>
      </w:r>
      <w:r w:rsidR="00D008CB" w:rsidRPr="000700CE">
        <w:rPr>
          <w:rFonts w:asciiTheme="minorHAnsi" w:hAnsiTheme="minorHAnsi" w:cstheme="minorHAnsi"/>
          <w:sz w:val="22"/>
          <w:szCs w:val="22"/>
        </w:rPr>
        <w:t xml:space="preserve">be </w:t>
      </w:r>
      <w:r w:rsidRPr="000700CE">
        <w:rPr>
          <w:rFonts w:asciiTheme="minorHAnsi" w:hAnsiTheme="minorHAnsi" w:cstheme="minorHAnsi"/>
          <w:sz w:val="22"/>
          <w:szCs w:val="22"/>
        </w:rPr>
        <w:t>provide</w:t>
      </w:r>
      <w:r w:rsidR="00D008CB" w:rsidRPr="000700CE">
        <w:rPr>
          <w:rFonts w:asciiTheme="minorHAnsi" w:hAnsiTheme="minorHAnsi" w:cstheme="minorHAnsi"/>
          <w:sz w:val="22"/>
          <w:szCs w:val="22"/>
        </w:rPr>
        <w:t>d</w:t>
      </w:r>
      <w:r w:rsidRPr="000700CE">
        <w:rPr>
          <w:rFonts w:asciiTheme="minorHAnsi" w:hAnsiTheme="minorHAnsi" w:cstheme="minorHAnsi"/>
          <w:sz w:val="22"/>
          <w:szCs w:val="22"/>
        </w:rPr>
        <w:t xml:space="preserve"> two available options for moving personal property</w:t>
      </w:r>
      <w:r w:rsidR="00DC4FBE" w:rsidRPr="000700CE">
        <w:rPr>
          <w:rFonts w:asciiTheme="minorHAnsi" w:hAnsiTheme="minorHAnsi" w:cstheme="minorHAnsi"/>
          <w:sz w:val="22"/>
          <w:szCs w:val="22"/>
        </w:rPr>
        <w:t xml:space="preserve"> and </w:t>
      </w:r>
      <w:r w:rsidRPr="000700CE">
        <w:rPr>
          <w:rFonts w:asciiTheme="minorHAnsi" w:hAnsiTheme="minorHAnsi" w:cstheme="minorHAnsi"/>
          <w:sz w:val="22"/>
          <w:szCs w:val="22"/>
        </w:rPr>
        <w:t>a date of required vacancy (at least 90 days’ notice to vacate)</w:t>
      </w:r>
      <w:r w:rsidR="00DC4FBE" w:rsidRPr="000700CE">
        <w:rPr>
          <w:rFonts w:asciiTheme="minorHAnsi" w:hAnsiTheme="minorHAnsi" w:cstheme="minorHAnsi"/>
          <w:sz w:val="22"/>
          <w:szCs w:val="22"/>
        </w:rPr>
        <w:t xml:space="preserve">. </w:t>
      </w:r>
      <w:r w:rsidRPr="000700CE">
        <w:rPr>
          <w:rFonts w:asciiTheme="minorHAnsi" w:hAnsiTheme="minorHAnsi" w:cstheme="minorHAnsi"/>
          <w:sz w:val="22"/>
          <w:szCs w:val="22"/>
        </w:rPr>
        <w:t xml:space="preserve"> </w:t>
      </w:r>
    </w:p>
    <w:p w14:paraId="36887D45" w14:textId="6CA92D2E" w:rsidR="00B53060" w:rsidRPr="000700CE" w:rsidRDefault="00E374C4" w:rsidP="00B53060">
      <w:pPr>
        <w:pStyle w:val="ListParagraph"/>
        <w:numPr>
          <w:ilvl w:val="0"/>
          <w:numId w:val="3"/>
        </w:numPr>
        <w:rPr>
          <w:rFonts w:asciiTheme="minorHAnsi" w:hAnsiTheme="minorHAnsi" w:cstheme="minorHAnsi"/>
          <w:sz w:val="22"/>
          <w:szCs w:val="22"/>
        </w:rPr>
      </w:pPr>
      <w:r w:rsidRPr="000700CE">
        <w:rPr>
          <w:rFonts w:asciiTheme="minorHAnsi" w:hAnsiTheme="minorHAnsi" w:cstheme="minorHAnsi"/>
          <w:sz w:val="22"/>
          <w:szCs w:val="22"/>
        </w:rPr>
        <w:t>If the personal property has not been removed 30-days before vacancy, t</w:t>
      </w:r>
      <w:r w:rsidR="00B53060" w:rsidRPr="000700CE">
        <w:rPr>
          <w:rFonts w:asciiTheme="minorHAnsi" w:hAnsiTheme="minorHAnsi" w:cstheme="minorHAnsi"/>
          <w:sz w:val="22"/>
          <w:szCs w:val="22"/>
        </w:rPr>
        <w:t>he owner</w:t>
      </w:r>
      <w:r w:rsidRPr="000700CE">
        <w:rPr>
          <w:rFonts w:asciiTheme="minorHAnsi" w:hAnsiTheme="minorHAnsi" w:cstheme="minorHAnsi"/>
          <w:sz w:val="22"/>
          <w:szCs w:val="22"/>
        </w:rPr>
        <w:t xml:space="preserve"> will receive a </w:t>
      </w:r>
      <w:r w:rsidR="00B53060" w:rsidRPr="000700CE">
        <w:rPr>
          <w:rFonts w:asciiTheme="minorHAnsi" w:hAnsiTheme="minorHAnsi" w:cstheme="minorHAnsi"/>
          <w:sz w:val="22"/>
          <w:szCs w:val="22"/>
        </w:rPr>
        <w:t>30-day notice to vacate.</w:t>
      </w:r>
    </w:p>
    <w:p w14:paraId="31059D70" w14:textId="253F1D93" w:rsidR="00B53060" w:rsidRPr="000700CE" w:rsidRDefault="00562CAE" w:rsidP="00B53060">
      <w:pPr>
        <w:pStyle w:val="ListParagraph"/>
        <w:numPr>
          <w:ilvl w:val="0"/>
          <w:numId w:val="3"/>
        </w:numPr>
        <w:rPr>
          <w:rFonts w:asciiTheme="minorHAnsi" w:hAnsiTheme="minorHAnsi" w:cstheme="minorHAnsi"/>
          <w:sz w:val="22"/>
          <w:szCs w:val="22"/>
        </w:rPr>
      </w:pPr>
      <w:r w:rsidRPr="000700CE">
        <w:rPr>
          <w:rFonts w:asciiTheme="minorHAnsi" w:hAnsiTheme="minorHAnsi" w:cstheme="minorHAnsi"/>
          <w:sz w:val="22"/>
          <w:szCs w:val="22"/>
        </w:rPr>
        <w:t>After items have been removed, t</w:t>
      </w:r>
      <w:r w:rsidR="00B53060" w:rsidRPr="000700CE">
        <w:rPr>
          <w:rFonts w:asciiTheme="minorHAnsi" w:hAnsiTheme="minorHAnsi" w:cstheme="minorHAnsi"/>
          <w:sz w:val="22"/>
          <w:szCs w:val="22"/>
        </w:rPr>
        <w:t>he relocation specialist will</w:t>
      </w:r>
      <w:r w:rsidR="00590859" w:rsidRPr="000700CE">
        <w:rPr>
          <w:rFonts w:asciiTheme="minorHAnsi" w:hAnsiTheme="minorHAnsi" w:cstheme="minorHAnsi"/>
          <w:sz w:val="22"/>
          <w:szCs w:val="22"/>
        </w:rPr>
        <w:t xml:space="preserve"> set up a time with the owner of the personal property to</w:t>
      </w:r>
      <w:r w:rsidR="00B53060" w:rsidRPr="000700CE">
        <w:rPr>
          <w:rFonts w:asciiTheme="minorHAnsi" w:hAnsiTheme="minorHAnsi" w:cstheme="minorHAnsi"/>
          <w:sz w:val="22"/>
          <w:szCs w:val="22"/>
        </w:rPr>
        <w:t xml:space="preserve"> </w:t>
      </w:r>
      <w:r w:rsidR="00590859" w:rsidRPr="000700CE">
        <w:rPr>
          <w:rFonts w:asciiTheme="minorHAnsi" w:hAnsiTheme="minorHAnsi" w:cstheme="minorHAnsi"/>
          <w:sz w:val="22"/>
          <w:szCs w:val="22"/>
        </w:rPr>
        <w:t xml:space="preserve">verify everything has been removed and at that time ask you to sign a </w:t>
      </w:r>
      <w:r w:rsidR="00B53060" w:rsidRPr="000700CE">
        <w:rPr>
          <w:rFonts w:asciiTheme="minorHAnsi" w:hAnsiTheme="minorHAnsi" w:cstheme="minorHAnsi"/>
          <w:sz w:val="22"/>
          <w:szCs w:val="22"/>
        </w:rPr>
        <w:t>Vacancy Notice (RE1783)</w:t>
      </w:r>
      <w:r w:rsidR="00590859" w:rsidRPr="000700CE">
        <w:rPr>
          <w:rFonts w:asciiTheme="minorHAnsi" w:hAnsiTheme="minorHAnsi" w:cstheme="minorHAnsi"/>
          <w:sz w:val="22"/>
          <w:szCs w:val="22"/>
        </w:rPr>
        <w:t>.</w:t>
      </w:r>
    </w:p>
    <w:p w14:paraId="25F2F166" w14:textId="06688C1B" w:rsidR="00B53060" w:rsidRPr="000700CE" w:rsidRDefault="00B53060" w:rsidP="00B53060">
      <w:pPr>
        <w:rPr>
          <w:rFonts w:asciiTheme="minorHAnsi" w:hAnsiTheme="minorHAnsi" w:cstheme="minorHAnsi"/>
          <w:sz w:val="22"/>
          <w:szCs w:val="22"/>
        </w:rPr>
      </w:pPr>
    </w:p>
    <w:p w14:paraId="73D3A9F8" w14:textId="676AF8A2" w:rsidR="009F3280" w:rsidRPr="000700CE" w:rsidRDefault="009F3280" w:rsidP="00B53060">
      <w:pPr>
        <w:rPr>
          <w:rFonts w:asciiTheme="minorHAnsi" w:hAnsiTheme="minorHAnsi" w:cstheme="minorHAnsi"/>
          <w:b/>
          <w:bCs/>
          <w:i/>
          <w:iCs/>
          <w:sz w:val="22"/>
          <w:szCs w:val="22"/>
        </w:rPr>
      </w:pPr>
      <w:r w:rsidRPr="000700CE">
        <w:rPr>
          <w:rFonts w:asciiTheme="minorHAnsi" w:hAnsiTheme="minorHAnsi" w:cstheme="minorHAnsi"/>
          <w:b/>
          <w:bCs/>
          <w:i/>
          <w:iCs/>
          <w:sz w:val="22"/>
          <w:szCs w:val="22"/>
        </w:rPr>
        <w:t>Relocation Claim</w:t>
      </w:r>
    </w:p>
    <w:p w14:paraId="0DD14D60" w14:textId="31920C48" w:rsidR="009F3280" w:rsidRPr="000700CE" w:rsidRDefault="009F3280" w:rsidP="00B53060">
      <w:pPr>
        <w:rPr>
          <w:rFonts w:asciiTheme="minorHAnsi" w:hAnsiTheme="minorHAnsi" w:cstheme="minorHAnsi"/>
          <w:sz w:val="22"/>
          <w:szCs w:val="22"/>
        </w:rPr>
      </w:pPr>
    </w:p>
    <w:p w14:paraId="03D7C974" w14:textId="7490996B" w:rsidR="00660DD1" w:rsidRPr="000700CE" w:rsidRDefault="00660DD1" w:rsidP="00B53060">
      <w:pPr>
        <w:rPr>
          <w:rFonts w:asciiTheme="minorHAnsi" w:hAnsiTheme="minorHAnsi" w:cstheme="minorHAnsi"/>
          <w:sz w:val="22"/>
          <w:szCs w:val="22"/>
        </w:rPr>
      </w:pPr>
      <w:r w:rsidRPr="000700CE">
        <w:rPr>
          <w:rFonts w:asciiTheme="minorHAnsi" w:hAnsiTheme="minorHAnsi" w:cstheme="minorHAnsi"/>
          <w:sz w:val="22"/>
          <w:szCs w:val="22"/>
        </w:rPr>
        <w:t>The relocation program is a reimbursement program with many requirements and eligibility criteria.  You are encouraged to work closely with your relocation specialist prior to incurring an expense. Documentation is very important – make sure you keep all documentation for moving expenses, such as paid invoices, receipts, and photos.</w:t>
      </w:r>
    </w:p>
    <w:p w14:paraId="6A5A826C" w14:textId="77777777" w:rsidR="00660DD1" w:rsidRPr="000700CE" w:rsidRDefault="00660DD1" w:rsidP="00B53060">
      <w:pPr>
        <w:rPr>
          <w:rFonts w:asciiTheme="minorHAnsi" w:hAnsiTheme="minorHAnsi" w:cstheme="minorHAnsi"/>
          <w:sz w:val="22"/>
          <w:szCs w:val="22"/>
        </w:rPr>
      </w:pPr>
    </w:p>
    <w:p w14:paraId="0D7891EA" w14:textId="3D774EAF" w:rsidR="00B53060" w:rsidRPr="000700CE" w:rsidRDefault="009F3280" w:rsidP="00B53060">
      <w:pPr>
        <w:rPr>
          <w:rFonts w:asciiTheme="minorHAnsi" w:hAnsiTheme="minorHAnsi" w:cstheme="minorHAnsi"/>
          <w:sz w:val="22"/>
          <w:szCs w:val="22"/>
        </w:rPr>
      </w:pPr>
      <w:r w:rsidRPr="000700CE">
        <w:rPr>
          <w:rFonts w:asciiTheme="minorHAnsi" w:hAnsiTheme="minorHAnsi" w:cstheme="minorHAnsi"/>
          <w:sz w:val="22"/>
          <w:szCs w:val="22"/>
        </w:rPr>
        <w:lastRenderedPageBreak/>
        <w:t xml:space="preserve">To receive reimbursement for the personal </w:t>
      </w:r>
      <w:proofErr w:type="gramStart"/>
      <w:r w:rsidRPr="000700CE">
        <w:rPr>
          <w:rFonts w:asciiTheme="minorHAnsi" w:hAnsiTheme="minorHAnsi" w:cstheme="minorHAnsi"/>
          <w:sz w:val="22"/>
          <w:szCs w:val="22"/>
        </w:rPr>
        <w:t>prope</w:t>
      </w:r>
      <w:r w:rsidR="00660DD1" w:rsidRPr="000700CE">
        <w:rPr>
          <w:rFonts w:asciiTheme="minorHAnsi" w:hAnsiTheme="minorHAnsi" w:cstheme="minorHAnsi"/>
          <w:sz w:val="22"/>
          <w:szCs w:val="22"/>
        </w:rPr>
        <w:t>rty</w:t>
      </w:r>
      <w:proofErr w:type="gramEnd"/>
      <w:r w:rsidR="00660DD1" w:rsidRPr="000700CE">
        <w:rPr>
          <w:rFonts w:asciiTheme="minorHAnsi" w:hAnsiTheme="minorHAnsi" w:cstheme="minorHAnsi"/>
          <w:sz w:val="22"/>
          <w:szCs w:val="22"/>
        </w:rPr>
        <w:t xml:space="preserve"> </w:t>
      </w:r>
      <w:r w:rsidRPr="000700CE">
        <w:rPr>
          <w:rFonts w:asciiTheme="minorHAnsi" w:hAnsiTheme="minorHAnsi" w:cstheme="minorHAnsi"/>
          <w:sz w:val="22"/>
          <w:szCs w:val="22"/>
        </w:rPr>
        <w:t>move, your relocation specialist will assist you in preparing the appropriate documentation to make a claim.  WisDOT will review your claim</w:t>
      </w:r>
      <w:r w:rsidR="00F5060D" w:rsidRPr="000700CE">
        <w:rPr>
          <w:rFonts w:asciiTheme="minorHAnsi" w:hAnsiTheme="minorHAnsi" w:cstheme="minorHAnsi"/>
          <w:sz w:val="22"/>
          <w:szCs w:val="22"/>
        </w:rPr>
        <w:t xml:space="preserve"> that needs to include</w:t>
      </w:r>
      <w:r w:rsidRPr="000700CE">
        <w:rPr>
          <w:rFonts w:asciiTheme="minorHAnsi" w:hAnsiTheme="minorHAnsi" w:cstheme="minorHAnsi"/>
          <w:sz w:val="22"/>
          <w:szCs w:val="22"/>
        </w:rPr>
        <w:t xml:space="preserve"> a signed claim for</w:t>
      </w:r>
      <w:r w:rsidR="00F5060D" w:rsidRPr="000700CE">
        <w:rPr>
          <w:rFonts w:asciiTheme="minorHAnsi" w:hAnsiTheme="minorHAnsi" w:cstheme="minorHAnsi"/>
          <w:sz w:val="22"/>
          <w:szCs w:val="22"/>
        </w:rPr>
        <w:t>m, signed vacancy notice</w:t>
      </w:r>
      <w:r w:rsidRPr="000700CE">
        <w:rPr>
          <w:rFonts w:asciiTheme="minorHAnsi" w:hAnsiTheme="minorHAnsi" w:cstheme="minorHAnsi"/>
          <w:sz w:val="22"/>
          <w:szCs w:val="22"/>
        </w:rPr>
        <w:t xml:space="preserve"> plus supporting documentation </w:t>
      </w:r>
      <w:r w:rsidR="00F5060D" w:rsidRPr="000700CE">
        <w:rPr>
          <w:rFonts w:asciiTheme="minorHAnsi" w:hAnsiTheme="minorHAnsi" w:cstheme="minorHAnsi"/>
          <w:sz w:val="22"/>
          <w:szCs w:val="22"/>
        </w:rPr>
        <w:t xml:space="preserve">that all personal property has been removed. Once approved a check will be provided.   </w:t>
      </w:r>
      <w:r w:rsidRPr="000700CE">
        <w:rPr>
          <w:rFonts w:asciiTheme="minorHAnsi" w:hAnsiTheme="minorHAnsi" w:cstheme="minorHAnsi"/>
          <w:sz w:val="22"/>
          <w:szCs w:val="22"/>
        </w:rPr>
        <w:t xml:space="preserve"> </w:t>
      </w:r>
    </w:p>
    <w:p w14:paraId="44B26A0C" w14:textId="0B9B2E0C" w:rsidR="001647C4" w:rsidRPr="000700CE" w:rsidRDefault="001647C4" w:rsidP="00B53060">
      <w:pPr>
        <w:rPr>
          <w:rFonts w:asciiTheme="minorHAnsi" w:hAnsiTheme="minorHAnsi" w:cstheme="minorHAnsi"/>
          <w:sz w:val="22"/>
          <w:szCs w:val="22"/>
        </w:rPr>
      </w:pPr>
    </w:p>
    <w:p w14:paraId="5B42341C" w14:textId="62C95FA0" w:rsidR="001647C4" w:rsidRPr="000700CE" w:rsidRDefault="001647C4" w:rsidP="00B53060">
      <w:pPr>
        <w:rPr>
          <w:rFonts w:asciiTheme="minorHAnsi" w:hAnsiTheme="minorHAnsi" w:cstheme="minorHAnsi"/>
          <w:b/>
          <w:bCs/>
          <w:i/>
          <w:iCs/>
          <w:sz w:val="22"/>
          <w:szCs w:val="22"/>
        </w:rPr>
      </w:pPr>
      <w:r w:rsidRPr="000700CE">
        <w:rPr>
          <w:rFonts w:asciiTheme="minorHAnsi" w:hAnsiTheme="minorHAnsi" w:cstheme="minorHAnsi"/>
          <w:b/>
          <w:bCs/>
          <w:i/>
          <w:iCs/>
          <w:sz w:val="22"/>
          <w:szCs w:val="22"/>
        </w:rPr>
        <w:t>Appeal Rights</w:t>
      </w:r>
    </w:p>
    <w:p w14:paraId="626664F9" w14:textId="4F3F7589" w:rsidR="001647C4" w:rsidRPr="000700CE" w:rsidRDefault="001647C4" w:rsidP="00B53060">
      <w:pPr>
        <w:rPr>
          <w:rFonts w:asciiTheme="minorHAnsi" w:hAnsiTheme="minorHAnsi" w:cstheme="minorHAnsi"/>
          <w:sz w:val="22"/>
          <w:szCs w:val="22"/>
        </w:rPr>
      </w:pPr>
    </w:p>
    <w:p w14:paraId="60717C57" w14:textId="67184F53" w:rsidR="001647C4" w:rsidRPr="000700CE" w:rsidRDefault="001647C4" w:rsidP="00B53060">
      <w:pPr>
        <w:rPr>
          <w:rFonts w:asciiTheme="minorHAnsi" w:hAnsiTheme="minorHAnsi" w:cstheme="minorHAnsi"/>
          <w:sz w:val="22"/>
          <w:szCs w:val="22"/>
        </w:rPr>
      </w:pPr>
      <w:r w:rsidRPr="000700CE">
        <w:rPr>
          <w:rFonts w:asciiTheme="minorHAnsi" w:hAnsiTheme="minorHAnsi" w:cstheme="minorHAnsi"/>
          <w:sz w:val="22"/>
          <w:szCs w:val="22"/>
        </w:rPr>
        <w:t>Under Wis. Stat. 32.20, you have the right to appeal a WisDOT decision that you disagree with, including a claim denial or a reduction from your claimed amount.  There are three different ways to appeal a WisDOT decision.</w:t>
      </w:r>
    </w:p>
    <w:p w14:paraId="2AA81917" w14:textId="0DD75D74" w:rsidR="001647C4" w:rsidRPr="000700CE" w:rsidRDefault="001647C4" w:rsidP="00B53060">
      <w:pPr>
        <w:rPr>
          <w:rFonts w:asciiTheme="minorHAnsi" w:hAnsiTheme="minorHAnsi" w:cstheme="minorHAnsi"/>
          <w:sz w:val="22"/>
          <w:szCs w:val="22"/>
        </w:rPr>
      </w:pPr>
    </w:p>
    <w:p w14:paraId="1A28D34E" w14:textId="13A50B14" w:rsidR="001647C4" w:rsidRPr="000700CE" w:rsidRDefault="001647C4" w:rsidP="001647C4">
      <w:pPr>
        <w:pStyle w:val="ListParagraph"/>
        <w:numPr>
          <w:ilvl w:val="0"/>
          <w:numId w:val="4"/>
        </w:numPr>
        <w:rPr>
          <w:rFonts w:asciiTheme="minorHAnsi" w:hAnsiTheme="minorHAnsi" w:cstheme="minorHAnsi"/>
          <w:sz w:val="22"/>
          <w:szCs w:val="22"/>
        </w:rPr>
      </w:pPr>
      <w:r w:rsidRPr="000700CE">
        <w:rPr>
          <w:rFonts w:asciiTheme="minorHAnsi" w:hAnsiTheme="minorHAnsi" w:cstheme="minorHAnsi"/>
          <w:sz w:val="22"/>
          <w:szCs w:val="22"/>
        </w:rPr>
        <w:t>You may appeal directly to WisDOT’s Statewide Relocation Program Coordinator, who will review the specific request and facts of the situation.  The agency may be able to work with you directly to resolve issues.</w:t>
      </w:r>
    </w:p>
    <w:p w14:paraId="3DA6B14B" w14:textId="62BDCBCA" w:rsidR="001647C4" w:rsidRPr="000700CE" w:rsidRDefault="001647C4" w:rsidP="001647C4">
      <w:pPr>
        <w:pStyle w:val="ListParagraph"/>
        <w:numPr>
          <w:ilvl w:val="0"/>
          <w:numId w:val="4"/>
        </w:numPr>
        <w:rPr>
          <w:rFonts w:asciiTheme="minorHAnsi" w:hAnsiTheme="minorHAnsi" w:cstheme="minorHAnsi"/>
          <w:sz w:val="22"/>
          <w:szCs w:val="22"/>
        </w:rPr>
      </w:pPr>
      <w:r w:rsidRPr="000700CE">
        <w:rPr>
          <w:rFonts w:asciiTheme="minorHAnsi" w:hAnsiTheme="minorHAnsi" w:cstheme="minorHAnsi"/>
          <w:sz w:val="22"/>
          <w:szCs w:val="22"/>
        </w:rPr>
        <w:t>You may appeal to the Wisconsin Department of Administration for an informal review outlined in Wisconsin Administrative Code Chapter Adm 92.18.</w:t>
      </w:r>
    </w:p>
    <w:p w14:paraId="263FEEC8" w14:textId="020E726C" w:rsidR="001647C4" w:rsidRPr="000700CE" w:rsidRDefault="001647C4" w:rsidP="001647C4">
      <w:pPr>
        <w:pStyle w:val="ListParagraph"/>
        <w:numPr>
          <w:ilvl w:val="0"/>
          <w:numId w:val="4"/>
        </w:numPr>
        <w:rPr>
          <w:rFonts w:asciiTheme="minorHAnsi" w:hAnsiTheme="minorHAnsi" w:cstheme="minorHAnsi"/>
          <w:sz w:val="22"/>
          <w:szCs w:val="22"/>
        </w:rPr>
      </w:pPr>
      <w:r w:rsidRPr="000700CE">
        <w:rPr>
          <w:rFonts w:asciiTheme="minorHAnsi" w:hAnsiTheme="minorHAnsi" w:cstheme="minorHAnsi"/>
          <w:sz w:val="22"/>
          <w:szCs w:val="22"/>
        </w:rPr>
        <w:t>You may file an appeal to the Circuit Court of the county where the displacement took place.</w:t>
      </w:r>
    </w:p>
    <w:p w14:paraId="7F4853FA" w14:textId="14CA8740" w:rsidR="001647C4" w:rsidRPr="000700CE" w:rsidRDefault="001647C4" w:rsidP="00B53060">
      <w:pPr>
        <w:rPr>
          <w:rFonts w:asciiTheme="minorHAnsi" w:hAnsiTheme="minorHAnsi" w:cstheme="minorHAnsi"/>
          <w:sz w:val="22"/>
          <w:szCs w:val="22"/>
        </w:rPr>
      </w:pPr>
    </w:p>
    <w:p w14:paraId="38B35C2C" w14:textId="33480680" w:rsidR="001647C4" w:rsidRPr="000700CE" w:rsidRDefault="001647C4" w:rsidP="00B53060">
      <w:pPr>
        <w:rPr>
          <w:rFonts w:asciiTheme="minorHAnsi" w:hAnsiTheme="minorHAnsi" w:cstheme="minorHAnsi"/>
          <w:sz w:val="22"/>
          <w:szCs w:val="22"/>
        </w:rPr>
      </w:pPr>
      <w:r w:rsidRPr="000700CE">
        <w:rPr>
          <w:rFonts w:asciiTheme="minorHAnsi" w:hAnsiTheme="minorHAnsi" w:cstheme="minorHAnsi"/>
          <w:sz w:val="22"/>
          <w:szCs w:val="22"/>
        </w:rPr>
        <w:t>Information on the appeals process will be provided by your relocation specialist with any claim denial or reduction.</w:t>
      </w:r>
    </w:p>
    <w:p w14:paraId="6D2E3C08" w14:textId="21C1EF73" w:rsidR="001647C4" w:rsidRPr="000700CE" w:rsidRDefault="001647C4" w:rsidP="00B53060">
      <w:pPr>
        <w:rPr>
          <w:rFonts w:asciiTheme="minorHAnsi" w:hAnsiTheme="minorHAnsi" w:cstheme="minorHAnsi"/>
          <w:sz w:val="22"/>
          <w:szCs w:val="22"/>
        </w:rPr>
      </w:pPr>
    </w:p>
    <w:p w14:paraId="280BE206" w14:textId="61928926" w:rsidR="001647C4" w:rsidRPr="000700CE" w:rsidRDefault="001647C4" w:rsidP="00B53060">
      <w:pPr>
        <w:rPr>
          <w:rFonts w:asciiTheme="minorHAnsi" w:hAnsiTheme="minorHAnsi" w:cstheme="minorHAnsi"/>
          <w:sz w:val="22"/>
          <w:szCs w:val="22"/>
        </w:rPr>
      </w:pPr>
    </w:p>
    <w:sectPr w:rsidR="001647C4" w:rsidRPr="000700CE" w:rsidSect="00F01547">
      <w:headerReference w:type="default" r:id="rId9"/>
      <w:footerReference w:type="default" r:id="rId10"/>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655E3" w14:textId="77777777" w:rsidR="00F147C3" w:rsidRDefault="00F147C3" w:rsidP="00386A8E">
      <w:r>
        <w:separator/>
      </w:r>
    </w:p>
  </w:endnote>
  <w:endnote w:type="continuationSeparator" w:id="0">
    <w:p w14:paraId="0882793E" w14:textId="77777777" w:rsidR="00F147C3" w:rsidRDefault="00F147C3" w:rsidP="0038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08C0" w14:textId="0F924DF9" w:rsidR="008A1EB6" w:rsidRPr="00B22214" w:rsidRDefault="008A1EB6" w:rsidP="008A1EB6">
    <w:pPr>
      <w:tabs>
        <w:tab w:val="right" w:pos="9810"/>
      </w:tabs>
      <w:suppressAutoHyphens/>
      <w:jc w:val="both"/>
      <w:rPr>
        <w:rFonts w:ascii="Arial" w:hAnsi="Arial" w:cs="Arial"/>
        <w:spacing w:val="-2"/>
        <w:sz w:val="16"/>
        <w:szCs w:val="16"/>
      </w:rPr>
    </w:pPr>
    <w:r w:rsidRPr="00B22214">
      <w:rPr>
        <w:rFonts w:ascii="Arial" w:hAnsi="Arial" w:cs="Arial"/>
        <w:noProof/>
        <w:spacing w:val="-2"/>
        <w:sz w:val="16"/>
        <w:szCs w:val="16"/>
      </w:rPr>
      <mc:AlternateContent>
        <mc:Choice Requires="wps">
          <w:drawing>
            <wp:anchor distT="4294967294" distB="4294967294" distL="114300" distR="114300" simplePos="0" relativeHeight="251683328" behindDoc="0" locked="0" layoutInCell="1" allowOverlap="1" wp14:anchorId="35B3ACFC" wp14:editId="4CC85F3D">
              <wp:simplePos x="0" y="0"/>
              <wp:positionH relativeFrom="margin">
                <wp:align>right</wp:align>
              </wp:positionH>
              <wp:positionV relativeFrom="paragraph">
                <wp:posOffset>-41276</wp:posOffset>
              </wp:positionV>
              <wp:extent cx="630110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110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488C1" id="Straight Connector 2" o:spid="_x0000_s1026" style="position:absolute;z-index:251683328;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margin;mso-height-relative:margin" from="444.95pt,-3.25pt" to="941.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" strokecolor="black [3213]" strokeweight=".5pt">
              <v:stroke joinstyle="miter"/>
              <o:lock v:ext="edit" shapetype="f"/>
              <w10:wrap anchorx="margin"/>
            </v:line>
          </w:pict>
        </mc:Fallback>
      </mc:AlternateContent>
    </w:r>
    <w:r w:rsidR="00B22214">
      <w:rPr>
        <w:rFonts w:ascii="Arial" w:hAnsi="Arial" w:cs="Arial"/>
        <w:noProof/>
        <w:spacing w:val="-2"/>
        <w:sz w:val="16"/>
        <w:szCs w:val="16"/>
      </w:rPr>
      <w:t>Personal Property Move Only</w:t>
    </w:r>
    <w:r w:rsidRPr="00B22214">
      <w:rPr>
        <w:rFonts w:ascii="Arial" w:hAnsi="Arial" w:cs="Arial"/>
        <w:spacing w:val="-2"/>
        <w:sz w:val="16"/>
        <w:szCs w:val="16"/>
      </w:rPr>
      <w:tab/>
      <w:t xml:space="preserve">Page </w:t>
    </w:r>
    <w:r w:rsidRPr="00B22214">
      <w:rPr>
        <w:rFonts w:ascii="Arial" w:hAnsi="Arial" w:cs="Arial"/>
        <w:spacing w:val="-2"/>
        <w:sz w:val="16"/>
        <w:szCs w:val="16"/>
      </w:rPr>
      <w:fldChar w:fldCharType="begin"/>
    </w:r>
    <w:r w:rsidRPr="00B22214">
      <w:rPr>
        <w:rFonts w:ascii="Arial" w:hAnsi="Arial" w:cs="Arial"/>
        <w:spacing w:val="-2"/>
        <w:sz w:val="16"/>
        <w:szCs w:val="16"/>
      </w:rPr>
      <w:instrText>page \* arabic</w:instrText>
    </w:r>
    <w:r w:rsidRPr="00B22214">
      <w:rPr>
        <w:rFonts w:ascii="Arial" w:hAnsi="Arial" w:cs="Arial"/>
        <w:spacing w:val="-2"/>
        <w:sz w:val="16"/>
        <w:szCs w:val="16"/>
      </w:rPr>
      <w:fldChar w:fldCharType="separate"/>
    </w:r>
    <w:r w:rsidRPr="00B22214">
      <w:rPr>
        <w:rFonts w:ascii="Arial" w:hAnsi="Arial" w:cs="Arial"/>
        <w:spacing w:val="-2"/>
        <w:sz w:val="16"/>
        <w:szCs w:val="16"/>
      </w:rPr>
      <w:t>1</w:t>
    </w:r>
    <w:r w:rsidRPr="00B22214">
      <w:rPr>
        <w:rFonts w:ascii="Arial" w:hAnsi="Arial" w:cs="Arial"/>
        <w:spacing w:val="-2"/>
        <w:sz w:val="16"/>
        <w:szCs w:val="16"/>
      </w:rPr>
      <w:fldChar w:fldCharType="end"/>
    </w:r>
  </w:p>
  <w:p w14:paraId="6E160DE3" w14:textId="77777777" w:rsidR="00062967" w:rsidRPr="00B22214" w:rsidRDefault="0006296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59F4" w14:textId="77777777" w:rsidR="00F147C3" w:rsidRDefault="00F147C3" w:rsidP="00386A8E">
      <w:r>
        <w:separator/>
      </w:r>
    </w:p>
  </w:footnote>
  <w:footnote w:type="continuationSeparator" w:id="0">
    <w:p w14:paraId="317EB609" w14:textId="77777777" w:rsidR="00F147C3" w:rsidRDefault="00F147C3" w:rsidP="00386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2CF9" w14:textId="77777777" w:rsidR="00386A8E" w:rsidRPr="002F5E56" w:rsidRDefault="00386A8E" w:rsidP="00386A8E">
    <w:pPr>
      <w:pStyle w:val="Header"/>
      <w:rPr>
        <w:rFonts w:asciiTheme="minorHAnsi" w:hAnsiTheme="minorHAnsi" w:cstheme="minorHAnsi"/>
        <w:b/>
        <w:iCs/>
        <w:sz w:val="20"/>
      </w:rPr>
    </w:pPr>
    <w:r w:rsidRPr="002F5E56">
      <w:rPr>
        <w:rFonts w:asciiTheme="minorHAnsi" w:hAnsiTheme="minorHAnsi" w:cstheme="minorHAnsi"/>
        <w:b/>
        <w:iCs/>
        <w:sz w:val="20"/>
      </w:rPr>
      <w:t>Wisconsin Department of Transportation</w:t>
    </w:r>
  </w:p>
  <w:p w14:paraId="20AA258D" w14:textId="14C55074" w:rsidR="00386A8E" w:rsidRPr="00CA3020" w:rsidRDefault="00386A8E" w:rsidP="00386A8E">
    <w:pPr>
      <w:pStyle w:val="Header"/>
      <w:tabs>
        <w:tab w:val="left" w:pos="1080"/>
      </w:tabs>
      <w:rPr>
        <w:rFonts w:asciiTheme="minorHAnsi" w:hAnsiTheme="minorHAnsi" w:cstheme="minorHAnsi"/>
        <w:iCs/>
        <w:sz w:val="18"/>
      </w:rPr>
    </w:pPr>
    <w:r>
      <w:rPr>
        <w:rFonts w:asciiTheme="minorHAnsi" w:hAnsiTheme="minorHAnsi" w:cstheme="minorHAnsi"/>
        <w:iCs/>
        <w:sz w:val="18"/>
      </w:rPr>
      <w:t>Unnumbered MPO 12/20</w:t>
    </w:r>
    <w:r w:rsidR="00062967">
      <w:rPr>
        <w:rFonts w:asciiTheme="minorHAnsi" w:hAnsiTheme="minorHAnsi" w:cstheme="minorHAnsi"/>
        <w:iCs/>
        <w:sz w:val="18"/>
      </w:rPr>
      <w:t>22</w:t>
    </w:r>
  </w:p>
  <w:p w14:paraId="1B5B3108" w14:textId="77777777" w:rsidR="00386A8E" w:rsidRDefault="00386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0CC4"/>
    <w:multiLevelType w:val="hybridMultilevel"/>
    <w:tmpl w:val="D116D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36829"/>
    <w:multiLevelType w:val="hybridMultilevel"/>
    <w:tmpl w:val="8BC4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00368"/>
    <w:multiLevelType w:val="hybridMultilevel"/>
    <w:tmpl w:val="CFB28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7040D4"/>
    <w:multiLevelType w:val="hybridMultilevel"/>
    <w:tmpl w:val="B268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989989">
    <w:abstractNumId w:val="0"/>
  </w:num>
  <w:num w:numId="2" w16cid:durableId="1527521413">
    <w:abstractNumId w:val="1"/>
  </w:num>
  <w:num w:numId="3" w16cid:durableId="1342200363">
    <w:abstractNumId w:val="3"/>
  </w:num>
  <w:num w:numId="4" w16cid:durableId="995569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95"/>
    <w:rsid w:val="00026504"/>
    <w:rsid w:val="00031B20"/>
    <w:rsid w:val="00062967"/>
    <w:rsid w:val="000700CE"/>
    <w:rsid w:val="000E474D"/>
    <w:rsid w:val="001375E4"/>
    <w:rsid w:val="00154949"/>
    <w:rsid w:val="001647C4"/>
    <w:rsid w:val="0021081D"/>
    <w:rsid w:val="002D0800"/>
    <w:rsid w:val="00386A8E"/>
    <w:rsid w:val="003A7F95"/>
    <w:rsid w:val="003D51BE"/>
    <w:rsid w:val="00401E43"/>
    <w:rsid w:val="00444CFA"/>
    <w:rsid w:val="0045537B"/>
    <w:rsid w:val="0048049E"/>
    <w:rsid w:val="004D4EC8"/>
    <w:rsid w:val="005214CD"/>
    <w:rsid w:val="00562CAE"/>
    <w:rsid w:val="00590859"/>
    <w:rsid w:val="005D349F"/>
    <w:rsid w:val="00660DD1"/>
    <w:rsid w:val="006B4498"/>
    <w:rsid w:val="007043FF"/>
    <w:rsid w:val="007A3B24"/>
    <w:rsid w:val="007B56BC"/>
    <w:rsid w:val="007F073D"/>
    <w:rsid w:val="007F64C1"/>
    <w:rsid w:val="00886438"/>
    <w:rsid w:val="008A1EB6"/>
    <w:rsid w:val="008B3713"/>
    <w:rsid w:val="00907E88"/>
    <w:rsid w:val="009F3280"/>
    <w:rsid w:val="00B00C96"/>
    <w:rsid w:val="00B22214"/>
    <w:rsid w:val="00B53060"/>
    <w:rsid w:val="00B70716"/>
    <w:rsid w:val="00C61FD0"/>
    <w:rsid w:val="00CC7C9B"/>
    <w:rsid w:val="00CD1316"/>
    <w:rsid w:val="00D008CB"/>
    <w:rsid w:val="00DC4FBE"/>
    <w:rsid w:val="00E16B0D"/>
    <w:rsid w:val="00E374C4"/>
    <w:rsid w:val="00E80C44"/>
    <w:rsid w:val="00F01547"/>
    <w:rsid w:val="00F147C3"/>
    <w:rsid w:val="00F5060D"/>
    <w:rsid w:val="00F56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89D928"/>
  <w15:chartTrackingRefBased/>
  <w15:docId w15:val="{761C13CD-23BA-4E41-B21D-D7E7D213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B20"/>
    <w:pPr>
      <w:ind w:left="720"/>
      <w:contextualSpacing/>
    </w:pPr>
  </w:style>
  <w:style w:type="table" w:styleId="TableGrid">
    <w:name w:val="Table Grid"/>
    <w:basedOn w:val="TableNormal"/>
    <w:uiPriority w:val="39"/>
    <w:rsid w:val="00E8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86A8E"/>
    <w:pPr>
      <w:tabs>
        <w:tab w:val="center" w:pos="4680"/>
        <w:tab w:val="right" w:pos="9360"/>
      </w:tabs>
    </w:pPr>
  </w:style>
  <w:style w:type="character" w:customStyle="1" w:styleId="HeaderChar">
    <w:name w:val="Header Char"/>
    <w:basedOn w:val="DefaultParagraphFont"/>
    <w:link w:val="Header"/>
    <w:uiPriority w:val="99"/>
    <w:rsid w:val="00386A8E"/>
    <w:rPr>
      <w:sz w:val="24"/>
      <w:szCs w:val="24"/>
    </w:rPr>
  </w:style>
  <w:style w:type="paragraph" w:styleId="Footer">
    <w:name w:val="footer"/>
    <w:basedOn w:val="Normal"/>
    <w:link w:val="FooterChar"/>
    <w:uiPriority w:val="99"/>
    <w:unhideWhenUsed/>
    <w:rsid w:val="00386A8E"/>
    <w:pPr>
      <w:tabs>
        <w:tab w:val="center" w:pos="4680"/>
        <w:tab w:val="right" w:pos="9360"/>
      </w:tabs>
    </w:pPr>
  </w:style>
  <w:style w:type="character" w:customStyle="1" w:styleId="FooterChar">
    <w:name w:val="Footer Char"/>
    <w:basedOn w:val="DefaultParagraphFont"/>
    <w:link w:val="Footer"/>
    <w:uiPriority w:val="99"/>
    <w:rsid w:val="00386A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CD60E4-1A84-4254-9475-5A887EBF9D7E}"/>
</file>

<file path=customXml/itemProps2.xml><?xml version="1.0" encoding="utf-8"?>
<ds:datastoreItem xmlns:ds="http://schemas.openxmlformats.org/officeDocument/2006/customXml" ds:itemID="{F8AE7C17-F848-41D5-B0AF-70F4C46DF2B7}">
  <ds:schemaRefs>
    <ds:schemaRef ds:uri="http://schemas.microsoft.com/sharepoint/v3/contenttype/forms"/>
  </ds:schemaRefs>
</ds:datastoreItem>
</file>

<file path=customXml/itemProps3.xml><?xml version="1.0" encoding="utf-8"?>
<ds:datastoreItem xmlns:ds="http://schemas.openxmlformats.org/officeDocument/2006/customXml" ds:itemID="{F6835DF5-C8AF-4487-A230-A826DC873C2F}"/>
</file>

<file path=docProps/app.xml><?xml version="1.0" encoding="utf-8"?>
<Properties xmlns="http://schemas.openxmlformats.org/officeDocument/2006/extended-properties" xmlns:vt="http://schemas.openxmlformats.org/officeDocument/2006/docPropsVTypes">
  <Template>Normal.dotm</Template>
  <TotalTime>2</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Personal-property-move-only-handout</dc:title>
  <dc:subject/>
  <dc:creator>Johnsrud, Tracey E - DOT;WisDOT</dc:creator>
  <cp:keywords/>
  <dc:description/>
  <cp:lastModifiedBy>Walters, Nathan - DOT</cp:lastModifiedBy>
  <cp:revision>3</cp:revision>
  <cp:lastPrinted>2022-12-28T17:10:00Z</cp:lastPrinted>
  <dcterms:created xsi:type="dcterms:W3CDTF">2023-05-10T18:41:00Z</dcterms:created>
  <dcterms:modified xsi:type="dcterms:W3CDTF">2023-05-10T18:43:00Z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