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BE4B" w14:textId="06EEC2D7" w:rsidR="00D0174F" w:rsidRPr="00BB6601" w:rsidRDefault="003B0B3E" w:rsidP="00BB6601">
      <w:pPr>
        <w:jc w:val="right"/>
        <w:rPr>
          <w:rFonts w:cstheme="minorHAnsi"/>
          <w:b/>
          <w:bCs/>
          <w:sz w:val="36"/>
          <w:szCs w:val="36"/>
        </w:rPr>
      </w:pPr>
      <w:bookmarkStart w:id="0" w:name="_Hlk30597292"/>
      <w:r>
        <w:rPr>
          <w:rFonts w:cstheme="minorHAnsi"/>
          <w:b/>
          <w:bCs/>
          <w:sz w:val="36"/>
          <w:szCs w:val="36"/>
        </w:rPr>
        <w:t>A</w:t>
      </w:r>
      <w:r w:rsidR="00BB6601" w:rsidRPr="00BB6601">
        <w:rPr>
          <w:rFonts w:cstheme="minorHAnsi"/>
          <w:b/>
          <w:bCs/>
          <w:sz w:val="36"/>
          <w:szCs w:val="36"/>
        </w:rPr>
        <w:t xml:space="preserve">ppendix </w:t>
      </w:r>
      <w:r w:rsidR="007C6B2D">
        <w:rPr>
          <w:rFonts w:cstheme="minorHAnsi"/>
          <w:b/>
          <w:bCs/>
          <w:sz w:val="36"/>
          <w:szCs w:val="36"/>
        </w:rPr>
        <w:t>9</w:t>
      </w:r>
    </w:p>
    <w:p w14:paraId="2EBF2088" w14:textId="77777777" w:rsidR="00BB6601" w:rsidRPr="00BB6601" w:rsidRDefault="00BB6601" w:rsidP="00BB6601">
      <w:pPr>
        <w:spacing w:after="0" w:line="240" w:lineRule="auto"/>
        <w:jc w:val="center"/>
        <w:rPr>
          <w:rFonts w:cstheme="minorHAnsi"/>
          <w:i/>
          <w:color w:val="FF0000"/>
          <w:sz w:val="36"/>
          <w:szCs w:val="36"/>
        </w:rPr>
      </w:pPr>
      <w:r w:rsidRPr="00BB6601">
        <w:rPr>
          <w:rFonts w:cstheme="minorHAnsi"/>
          <w:i/>
          <w:color w:val="FF0000"/>
          <w:sz w:val="36"/>
          <w:szCs w:val="36"/>
        </w:rPr>
        <w:t>Sample Template</w:t>
      </w:r>
    </w:p>
    <w:p w14:paraId="754FE0B6" w14:textId="77777777" w:rsidR="00BB6601" w:rsidRDefault="00BB6601" w:rsidP="00D0174F">
      <w:pPr>
        <w:spacing w:after="0" w:line="240" w:lineRule="auto"/>
        <w:jc w:val="center"/>
        <w:rPr>
          <w:rFonts w:cstheme="minorHAnsi"/>
          <w:b/>
          <w:color w:val="000000" w:themeColor="text1"/>
          <w:sz w:val="28"/>
          <w:szCs w:val="24"/>
        </w:rPr>
      </w:pPr>
    </w:p>
    <w:p w14:paraId="146CA81F" w14:textId="77777777" w:rsidR="00D0174F" w:rsidRPr="00FE091D" w:rsidRDefault="00D0174F" w:rsidP="00D0174F">
      <w:pPr>
        <w:spacing w:after="0" w:line="240" w:lineRule="auto"/>
        <w:jc w:val="center"/>
        <w:rPr>
          <w:rFonts w:cstheme="minorHAnsi"/>
          <w:b/>
          <w:color w:val="000000" w:themeColor="text1"/>
          <w:sz w:val="28"/>
          <w:szCs w:val="24"/>
        </w:rPr>
      </w:pPr>
      <w:r w:rsidRPr="00FE091D">
        <w:rPr>
          <w:rFonts w:cstheme="minorHAnsi"/>
          <w:b/>
          <w:color w:val="000000" w:themeColor="text1"/>
          <w:sz w:val="28"/>
          <w:szCs w:val="24"/>
        </w:rPr>
        <w:t>Fixed Route Service Policy</w:t>
      </w:r>
      <w:r w:rsidR="00A603CA">
        <w:rPr>
          <w:rStyle w:val="FootnoteReference"/>
          <w:rFonts w:cstheme="minorHAnsi"/>
          <w:b/>
          <w:color w:val="000000" w:themeColor="text1"/>
          <w:sz w:val="28"/>
          <w:szCs w:val="24"/>
        </w:rPr>
        <w:footnoteReference w:id="1"/>
      </w:r>
    </w:p>
    <w:p w14:paraId="277A666F" w14:textId="77777777" w:rsidR="00D0174F" w:rsidRPr="00FE091D" w:rsidRDefault="00D0174F" w:rsidP="00D0174F">
      <w:pPr>
        <w:spacing w:after="0" w:line="240" w:lineRule="auto"/>
        <w:jc w:val="center"/>
        <w:rPr>
          <w:rFonts w:cstheme="minorHAnsi"/>
          <w:i/>
          <w:color w:val="002060"/>
          <w:sz w:val="10"/>
          <w:szCs w:val="10"/>
        </w:rPr>
      </w:pPr>
    </w:p>
    <w:p w14:paraId="1DB87A81" w14:textId="77777777" w:rsidR="00D0174F" w:rsidRDefault="00D0174F" w:rsidP="00D0174F">
      <w:pPr>
        <w:spacing w:after="0" w:line="240" w:lineRule="auto"/>
        <w:jc w:val="center"/>
        <w:rPr>
          <w:rFonts w:cstheme="minorHAnsi"/>
          <w:i/>
          <w:color w:val="002060"/>
          <w:sz w:val="24"/>
          <w:szCs w:val="24"/>
        </w:rPr>
      </w:pPr>
      <w:r w:rsidRPr="00FE091D">
        <w:rPr>
          <w:rFonts w:cstheme="minorHAnsi"/>
          <w:i/>
          <w:color w:val="002060"/>
          <w:sz w:val="24"/>
          <w:szCs w:val="24"/>
        </w:rPr>
        <w:t>(For all Fixed Route Transit Providers)</w:t>
      </w:r>
    </w:p>
    <w:p w14:paraId="494079F5" w14:textId="77777777" w:rsidR="00DD38B1" w:rsidRDefault="00DD38B1" w:rsidP="00D0174F">
      <w:pPr>
        <w:spacing w:after="0" w:line="240" w:lineRule="auto"/>
        <w:jc w:val="center"/>
        <w:rPr>
          <w:rFonts w:cstheme="minorHAnsi"/>
          <w:i/>
          <w:color w:val="002060"/>
          <w:sz w:val="24"/>
          <w:szCs w:val="24"/>
        </w:rPr>
      </w:pPr>
    </w:p>
    <w:p w14:paraId="499396B4" w14:textId="77777777" w:rsidR="00A603CA" w:rsidRDefault="00A603CA" w:rsidP="00DD38B1">
      <w:pPr>
        <w:spacing w:after="0" w:line="240" w:lineRule="auto"/>
        <w:jc w:val="center"/>
        <w:rPr>
          <w:rFonts w:cstheme="minorHAnsi"/>
          <w:i/>
          <w:color w:val="FF0000"/>
          <w:sz w:val="28"/>
          <w:szCs w:val="28"/>
        </w:rPr>
      </w:pPr>
    </w:p>
    <w:p w14:paraId="3E09440B" w14:textId="77777777" w:rsidR="00A603CA" w:rsidRPr="00A603CA" w:rsidRDefault="00A603CA" w:rsidP="00A603CA">
      <w:pPr>
        <w:spacing w:after="0" w:line="240" w:lineRule="auto"/>
        <w:rPr>
          <w:rFonts w:cstheme="minorHAnsi"/>
          <w:color w:val="000000" w:themeColor="text1"/>
        </w:rPr>
      </w:pPr>
      <w:r w:rsidRPr="00A603CA">
        <w:rPr>
          <w:rFonts w:cstheme="minorHAnsi"/>
          <w:color w:val="000000" w:themeColor="text1"/>
        </w:rPr>
        <w:t xml:space="preserve">FTA requires that all providers of fixed route public transportation develop </w:t>
      </w:r>
      <w:r w:rsidRPr="009151FF">
        <w:rPr>
          <w:rFonts w:cstheme="minorHAnsi"/>
          <w:i/>
          <w:color w:val="000000" w:themeColor="text1"/>
        </w:rPr>
        <w:t xml:space="preserve">qualitative </w:t>
      </w:r>
      <w:r w:rsidRPr="00A603CA">
        <w:rPr>
          <w:rFonts w:cstheme="minorHAnsi"/>
          <w:color w:val="000000" w:themeColor="text1"/>
        </w:rPr>
        <w:t xml:space="preserve">policies for vehicle assignment and transit amenities. These policies are to be set by individual transit providers; therefore, these policies will apply to individual agencies rather than across the entire transit industry. </w:t>
      </w:r>
    </w:p>
    <w:p w14:paraId="04842CDF" w14:textId="77777777" w:rsidR="00A603CA" w:rsidRPr="00A603CA" w:rsidRDefault="00A603CA" w:rsidP="00A603CA">
      <w:pPr>
        <w:spacing w:after="0" w:line="240" w:lineRule="auto"/>
        <w:rPr>
          <w:rFonts w:cstheme="minorHAnsi"/>
          <w:color w:val="FF0000"/>
        </w:rPr>
      </w:pPr>
    </w:p>
    <w:p w14:paraId="5DBA1671" w14:textId="77777777" w:rsidR="00D0174F" w:rsidRPr="005863E4" w:rsidRDefault="00D0174F" w:rsidP="00D0174F">
      <w:pPr>
        <w:spacing w:after="0" w:line="240" w:lineRule="auto"/>
        <w:rPr>
          <w:rFonts w:cstheme="minorHAnsi"/>
          <w:b/>
        </w:rPr>
      </w:pPr>
    </w:p>
    <w:p w14:paraId="46FBC611" w14:textId="77777777" w:rsidR="00D0174F" w:rsidRPr="00FE091D" w:rsidRDefault="00D0174F" w:rsidP="00D0174F">
      <w:pPr>
        <w:pBdr>
          <w:top w:val="single" w:sz="4" w:space="1" w:color="auto"/>
          <w:left w:val="single" w:sz="4" w:space="4" w:color="auto"/>
          <w:bottom w:val="single" w:sz="4" w:space="1" w:color="auto"/>
          <w:right w:val="single" w:sz="4" w:space="4" w:color="auto"/>
        </w:pBdr>
        <w:spacing w:line="240" w:lineRule="auto"/>
        <w:rPr>
          <w:rFonts w:cstheme="minorHAnsi"/>
          <w:b/>
          <w:i/>
          <w:sz w:val="24"/>
          <w:szCs w:val="24"/>
        </w:rPr>
      </w:pPr>
      <w:r w:rsidRPr="00FE091D">
        <w:rPr>
          <w:rFonts w:cstheme="minorHAnsi"/>
          <w:b/>
          <w:i/>
          <w:sz w:val="24"/>
          <w:szCs w:val="24"/>
        </w:rPr>
        <w:t>Vehicle Assignment Policy</w:t>
      </w:r>
    </w:p>
    <w:p w14:paraId="43EA4BEC" w14:textId="77777777" w:rsidR="00D0174F" w:rsidRPr="005863E4" w:rsidRDefault="00D0174F" w:rsidP="00D0174F">
      <w:pPr>
        <w:spacing w:line="240" w:lineRule="auto"/>
        <w:rPr>
          <w:rFonts w:cstheme="minorHAnsi"/>
        </w:rPr>
      </w:pPr>
      <w:r w:rsidRPr="005863E4">
        <w:rPr>
          <w:rFonts w:cstheme="minorHAnsi"/>
        </w:rPr>
        <w:t xml:space="preserve">Vehicles will be assigned </w:t>
      </w:r>
      <w:r w:rsidR="00DD38B1">
        <w:rPr>
          <w:rFonts w:cstheme="minorHAnsi"/>
        </w:rPr>
        <w:t xml:space="preserve">such that the average age of the fleet serving each route does not exceed </w:t>
      </w:r>
      <w:r w:rsidR="00DD38B1" w:rsidRPr="00DD38B1">
        <w:rPr>
          <w:rFonts w:cstheme="minorHAnsi"/>
          <w:highlight w:val="yellow"/>
        </w:rPr>
        <w:t>XX</w:t>
      </w:r>
      <w:r w:rsidR="00DD38B1">
        <w:rPr>
          <w:rFonts w:cstheme="minorHAnsi"/>
        </w:rPr>
        <w:t xml:space="preserve"> years. </w:t>
      </w:r>
      <w:r w:rsidRPr="005863E4">
        <w:rPr>
          <w:rFonts w:cstheme="minorHAnsi"/>
        </w:rPr>
        <w:t xml:space="preserve">Low-floor buses are deployed on frequent service and other high-ridership </w:t>
      </w:r>
      <w:r w:rsidR="00DD38B1">
        <w:rPr>
          <w:rFonts w:cstheme="minorHAnsi"/>
        </w:rPr>
        <w:t>routes</w:t>
      </w:r>
      <w:r w:rsidRPr="005863E4">
        <w:rPr>
          <w:rFonts w:cstheme="minorHAnsi"/>
        </w:rPr>
        <w:t>, so these busses carry a higher share of ridership than their numerical proportion of the overall bus fleet. Low-floor buses are also equipped with air conditioning and automated stop announcement systems.</w:t>
      </w:r>
    </w:p>
    <w:p w14:paraId="0E6F7D18" w14:textId="77777777" w:rsidR="00D0174F" w:rsidRPr="005863E4" w:rsidRDefault="00D0174F" w:rsidP="00D0174F">
      <w:pPr>
        <w:spacing w:line="240" w:lineRule="auto"/>
        <w:rPr>
          <w:rFonts w:cstheme="minorHAnsi"/>
        </w:rPr>
      </w:pPr>
      <w:r w:rsidRPr="005863E4">
        <w:rPr>
          <w:rFonts w:cstheme="minorHAnsi"/>
        </w:rPr>
        <w:t xml:space="preserve">Bus assignments </w:t>
      </w:r>
      <w:proofErr w:type="gramStart"/>
      <w:r w:rsidRPr="005863E4">
        <w:rPr>
          <w:rFonts w:cstheme="minorHAnsi"/>
        </w:rPr>
        <w:t>take into account</w:t>
      </w:r>
      <w:proofErr w:type="gramEnd"/>
      <w:r w:rsidRPr="005863E4">
        <w:rPr>
          <w:rFonts w:cstheme="minorHAnsi"/>
        </w:rPr>
        <w:t xml:space="preserve"> the operating characteristics of buses of various lengths, which are matched to the operating characteristics of buses of various lengths, which are matched to the operating characteristics of the route. Local routes with lower ridership may be assigned </w:t>
      </w:r>
      <w:r w:rsidR="00DD38B1">
        <w:rPr>
          <w:rFonts w:cstheme="minorHAnsi"/>
        </w:rPr>
        <w:t xml:space="preserve">minivans rather than </w:t>
      </w:r>
      <w:r w:rsidRPr="005863E4">
        <w:rPr>
          <w:rFonts w:cstheme="minorHAnsi"/>
        </w:rPr>
        <w:t xml:space="preserve">30-foot </w:t>
      </w:r>
      <w:r w:rsidR="00DD38B1">
        <w:rPr>
          <w:rFonts w:cstheme="minorHAnsi"/>
        </w:rPr>
        <w:t xml:space="preserve">or </w:t>
      </w:r>
      <w:r w:rsidRPr="005863E4">
        <w:rPr>
          <w:rFonts w:cstheme="minorHAnsi"/>
        </w:rPr>
        <w:t xml:space="preserve">40-foot buses. Some routes requiring tight turns on narrow streets are operated with 30-foot rather </w:t>
      </w:r>
      <w:r w:rsidR="00D617EC">
        <w:rPr>
          <w:rFonts w:cstheme="minorHAnsi"/>
        </w:rPr>
        <w:t>th</w:t>
      </w:r>
      <w:r w:rsidRPr="005863E4">
        <w:rPr>
          <w:rFonts w:cstheme="minorHAnsi"/>
        </w:rPr>
        <w:t>an 40-foot buses.</w:t>
      </w:r>
    </w:p>
    <w:p w14:paraId="661ECBD2" w14:textId="77777777" w:rsidR="00D0174F" w:rsidRPr="005863E4" w:rsidRDefault="00D0174F" w:rsidP="00D0174F">
      <w:pPr>
        <w:spacing w:line="240" w:lineRule="auto"/>
        <w:rPr>
          <w:rFonts w:cstheme="minorHAnsi"/>
        </w:rPr>
      </w:pPr>
    </w:p>
    <w:p w14:paraId="467E29C8" w14:textId="77777777" w:rsidR="00D0174F" w:rsidRPr="00FE091D" w:rsidRDefault="00D0174F" w:rsidP="00D0174F">
      <w:pPr>
        <w:pBdr>
          <w:top w:val="single" w:sz="4" w:space="1" w:color="auto"/>
          <w:left w:val="single" w:sz="4" w:space="4" w:color="auto"/>
          <w:bottom w:val="single" w:sz="4" w:space="1" w:color="auto"/>
          <w:right w:val="single" w:sz="4" w:space="4" w:color="auto"/>
        </w:pBdr>
        <w:spacing w:line="240" w:lineRule="auto"/>
        <w:rPr>
          <w:rFonts w:cstheme="minorHAnsi"/>
          <w:b/>
          <w:i/>
          <w:sz w:val="26"/>
          <w:szCs w:val="26"/>
        </w:rPr>
      </w:pPr>
      <w:r w:rsidRPr="00FE091D">
        <w:rPr>
          <w:rFonts w:cstheme="minorHAnsi"/>
          <w:b/>
          <w:i/>
          <w:sz w:val="26"/>
          <w:szCs w:val="26"/>
        </w:rPr>
        <w:t>Transit Amenities Policy</w:t>
      </w:r>
    </w:p>
    <w:p w14:paraId="7115A61C" w14:textId="77777777" w:rsidR="004C20B6" w:rsidRPr="005863E4" w:rsidRDefault="00D0174F" w:rsidP="000E7947">
      <w:pPr>
        <w:spacing w:after="0" w:line="240" w:lineRule="auto"/>
        <w:rPr>
          <w:rFonts w:cstheme="minorHAnsi"/>
        </w:rPr>
      </w:pPr>
      <w:r w:rsidRPr="005863E4">
        <w:rPr>
          <w:rFonts w:cstheme="minorHAnsi"/>
        </w:rPr>
        <w:t>Installation of transit amenities along bus routes are based on the number of passenger boarding</w:t>
      </w:r>
      <w:r w:rsidR="00D617EC">
        <w:rPr>
          <w:rFonts w:cstheme="minorHAnsi"/>
        </w:rPr>
        <w:t>’</w:t>
      </w:r>
      <w:r w:rsidRPr="005863E4">
        <w:rPr>
          <w:rFonts w:cstheme="minorHAnsi"/>
        </w:rPr>
        <w:t xml:space="preserve">s at the stops along those routes. </w:t>
      </w:r>
    </w:p>
    <w:bookmarkEnd w:id="0"/>
    <w:sectPr w:rsidR="004C20B6" w:rsidRPr="005863E4" w:rsidSect="005863E4">
      <w:footerReference w:type="default" r:id="rId8"/>
      <w:pgSz w:w="12240" w:h="15840"/>
      <w:pgMar w:top="864"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17B0" w14:textId="77777777" w:rsidR="00F24E77" w:rsidRDefault="00F24E77" w:rsidP="00DD0F8D">
      <w:pPr>
        <w:spacing w:after="0" w:line="240" w:lineRule="auto"/>
      </w:pPr>
      <w:r>
        <w:separator/>
      </w:r>
    </w:p>
  </w:endnote>
  <w:endnote w:type="continuationSeparator" w:id="0">
    <w:p w14:paraId="75703B79" w14:textId="77777777" w:rsidR="00F24E77" w:rsidRDefault="00F24E77"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64864"/>
      <w:docPartObj>
        <w:docPartGallery w:val="Page Numbers (Bottom of Page)"/>
        <w:docPartUnique/>
      </w:docPartObj>
    </w:sdtPr>
    <w:sdtEndPr/>
    <w:sdtContent>
      <w:sdt>
        <w:sdtPr>
          <w:id w:val="565050477"/>
          <w:docPartObj>
            <w:docPartGallery w:val="Page Numbers (Top of Page)"/>
            <w:docPartUnique/>
          </w:docPartObj>
        </w:sdtPr>
        <w:sdtEndPr/>
        <w:sdtContent>
          <w:p w14:paraId="2A4F6151" w14:textId="77777777" w:rsidR="00F24E77" w:rsidRDefault="00F24E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21</w:t>
            </w:r>
            <w:r>
              <w:rPr>
                <w:b/>
                <w:sz w:val="24"/>
                <w:szCs w:val="24"/>
              </w:rPr>
              <w:fldChar w:fldCharType="end"/>
            </w:r>
          </w:p>
        </w:sdtContent>
      </w:sdt>
    </w:sdtContent>
  </w:sdt>
  <w:p w14:paraId="42551D0B" w14:textId="77777777" w:rsidR="00F24E77" w:rsidRDefault="00F2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72CF" w14:textId="77777777" w:rsidR="00F24E77" w:rsidRDefault="00F24E77" w:rsidP="00DD0F8D">
      <w:pPr>
        <w:spacing w:after="0" w:line="240" w:lineRule="auto"/>
      </w:pPr>
      <w:r>
        <w:separator/>
      </w:r>
    </w:p>
  </w:footnote>
  <w:footnote w:type="continuationSeparator" w:id="0">
    <w:p w14:paraId="377F19C8" w14:textId="77777777" w:rsidR="00F24E77" w:rsidRDefault="00F24E77" w:rsidP="00DD0F8D">
      <w:pPr>
        <w:spacing w:after="0" w:line="240" w:lineRule="auto"/>
      </w:pPr>
      <w:r>
        <w:continuationSeparator/>
      </w:r>
    </w:p>
  </w:footnote>
  <w:footnote w:id="1">
    <w:p w14:paraId="67264FD9" w14:textId="77777777" w:rsidR="00A603CA" w:rsidRDefault="00A603CA">
      <w:pPr>
        <w:pStyle w:val="FootnoteText"/>
      </w:pPr>
      <w:r w:rsidRPr="00A603CA">
        <w:rPr>
          <w:rStyle w:val="FootnoteReference"/>
          <w:b/>
          <w:sz w:val="22"/>
          <w:szCs w:val="22"/>
        </w:rPr>
        <w:footnoteRef/>
      </w:r>
      <w:r w:rsidRPr="00A603CA">
        <w:rPr>
          <w:b/>
          <w:sz w:val="22"/>
          <w:szCs w:val="22"/>
        </w:rPr>
        <w:t xml:space="preserve"> </w:t>
      </w:r>
      <w:r>
        <w:t xml:space="preserve">For guidance on how to set system-wide service standards and policies see </w:t>
      </w:r>
      <w:hyperlink r:id="rId1" w:history="1">
        <w:r w:rsidRPr="00065EEC">
          <w:rPr>
            <w:rStyle w:val="Hyperlink"/>
          </w:rPr>
          <w:t>FTA C 4702.1</w:t>
        </w:r>
        <w:r w:rsidR="00E34B0D">
          <w:rPr>
            <w:rStyle w:val="Hyperlink"/>
          </w:rPr>
          <w:t>B</w:t>
        </w:r>
      </w:hyperlink>
      <w:r>
        <w:t>, Title VI Requirements and Guidelines for FTA Recipients, Chapter IV-4, Section 4. Requirement to Set System-Wide Service Standards and Policies and Appendix 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14FB2768"/>
    <w:multiLevelType w:val="hybridMultilevel"/>
    <w:tmpl w:val="FD7C2E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44619"/>
    <w:multiLevelType w:val="hybridMultilevel"/>
    <w:tmpl w:val="DC16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D4B69"/>
    <w:multiLevelType w:val="hybridMultilevel"/>
    <w:tmpl w:val="9CAE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A4F9A"/>
    <w:multiLevelType w:val="hybridMultilevel"/>
    <w:tmpl w:val="0574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144641">
    <w:abstractNumId w:val="24"/>
  </w:num>
  <w:num w:numId="2" w16cid:durableId="231044735">
    <w:abstractNumId w:val="7"/>
  </w:num>
  <w:num w:numId="3" w16cid:durableId="164053205">
    <w:abstractNumId w:val="9"/>
  </w:num>
  <w:num w:numId="4" w16cid:durableId="694502440">
    <w:abstractNumId w:val="25"/>
  </w:num>
  <w:num w:numId="5" w16cid:durableId="514732157">
    <w:abstractNumId w:val="14"/>
  </w:num>
  <w:num w:numId="6" w16cid:durableId="1588923587">
    <w:abstractNumId w:val="10"/>
  </w:num>
  <w:num w:numId="7" w16cid:durableId="279994933">
    <w:abstractNumId w:val="6"/>
  </w:num>
  <w:num w:numId="8" w16cid:durableId="743187571">
    <w:abstractNumId w:val="5"/>
  </w:num>
  <w:num w:numId="9" w16cid:durableId="157816748">
    <w:abstractNumId w:val="12"/>
  </w:num>
  <w:num w:numId="10" w16cid:durableId="1513379965">
    <w:abstractNumId w:val="26"/>
  </w:num>
  <w:num w:numId="11" w16cid:durableId="1573808636">
    <w:abstractNumId w:val="18"/>
  </w:num>
  <w:num w:numId="12" w16cid:durableId="1703941903">
    <w:abstractNumId w:val="11"/>
  </w:num>
  <w:num w:numId="13" w16cid:durableId="1204171021">
    <w:abstractNumId w:val="0"/>
  </w:num>
  <w:num w:numId="14" w16cid:durableId="819886683">
    <w:abstractNumId w:val="23"/>
  </w:num>
  <w:num w:numId="15" w16cid:durableId="1334799613">
    <w:abstractNumId w:val="4"/>
  </w:num>
  <w:num w:numId="16" w16cid:durableId="639920327">
    <w:abstractNumId w:val="17"/>
  </w:num>
  <w:num w:numId="17" w16cid:durableId="1384061078">
    <w:abstractNumId w:val="21"/>
  </w:num>
  <w:num w:numId="18" w16cid:durableId="658581732">
    <w:abstractNumId w:val="13"/>
  </w:num>
  <w:num w:numId="19" w16cid:durableId="507990969">
    <w:abstractNumId w:val="8"/>
  </w:num>
  <w:num w:numId="20" w16cid:durableId="253245766">
    <w:abstractNumId w:val="27"/>
  </w:num>
  <w:num w:numId="21" w16cid:durableId="141584866">
    <w:abstractNumId w:val="2"/>
  </w:num>
  <w:num w:numId="22" w16cid:durableId="2000575805">
    <w:abstractNumId w:val="1"/>
  </w:num>
  <w:num w:numId="23" w16cid:durableId="1496847392">
    <w:abstractNumId w:val="15"/>
  </w:num>
  <w:num w:numId="24" w16cid:durableId="187109141">
    <w:abstractNumId w:val="3"/>
  </w:num>
  <w:num w:numId="25" w16cid:durableId="967205732">
    <w:abstractNumId w:val="19"/>
  </w:num>
  <w:num w:numId="26" w16cid:durableId="1529175776">
    <w:abstractNumId w:val="22"/>
  </w:num>
  <w:num w:numId="27" w16cid:durableId="215357827">
    <w:abstractNumId w:val="16"/>
  </w:num>
  <w:num w:numId="28" w16cid:durableId="21056065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02C24"/>
    <w:rsid w:val="00034D8B"/>
    <w:rsid w:val="00044794"/>
    <w:rsid w:val="000461E7"/>
    <w:rsid w:val="00046E32"/>
    <w:rsid w:val="00065EEC"/>
    <w:rsid w:val="00074618"/>
    <w:rsid w:val="00076661"/>
    <w:rsid w:val="00080B1E"/>
    <w:rsid w:val="0008772D"/>
    <w:rsid w:val="000A1214"/>
    <w:rsid w:val="000D33D5"/>
    <w:rsid w:val="000E7947"/>
    <w:rsid w:val="000F4E8D"/>
    <w:rsid w:val="0010721E"/>
    <w:rsid w:val="001128E2"/>
    <w:rsid w:val="00126BBC"/>
    <w:rsid w:val="001B4731"/>
    <w:rsid w:val="001B7032"/>
    <w:rsid w:val="001D31B8"/>
    <w:rsid w:val="001D3904"/>
    <w:rsid w:val="001E0D68"/>
    <w:rsid w:val="001E1B9C"/>
    <w:rsid w:val="001F07BE"/>
    <w:rsid w:val="001F2023"/>
    <w:rsid w:val="001F4F0F"/>
    <w:rsid w:val="001F70F9"/>
    <w:rsid w:val="00205A16"/>
    <w:rsid w:val="002102B2"/>
    <w:rsid w:val="002104B3"/>
    <w:rsid w:val="00222A6C"/>
    <w:rsid w:val="00223B81"/>
    <w:rsid w:val="00231542"/>
    <w:rsid w:val="00236D66"/>
    <w:rsid w:val="002553EB"/>
    <w:rsid w:val="002567B6"/>
    <w:rsid w:val="00287482"/>
    <w:rsid w:val="00291479"/>
    <w:rsid w:val="002A0F14"/>
    <w:rsid w:val="002A3CCE"/>
    <w:rsid w:val="002C6CA5"/>
    <w:rsid w:val="002E2BE1"/>
    <w:rsid w:val="002F6AB3"/>
    <w:rsid w:val="002F6BC6"/>
    <w:rsid w:val="002F76D3"/>
    <w:rsid w:val="0032244E"/>
    <w:rsid w:val="00330988"/>
    <w:rsid w:val="00331F5B"/>
    <w:rsid w:val="00335A70"/>
    <w:rsid w:val="00347C8F"/>
    <w:rsid w:val="00362D88"/>
    <w:rsid w:val="00372F55"/>
    <w:rsid w:val="00387B38"/>
    <w:rsid w:val="003A0CD1"/>
    <w:rsid w:val="003B0B3E"/>
    <w:rsid w:val="003B6F4A"/>
    <w:rsid w:val="003C1B4E"/>
    <w:rsid w:val="003D5236"/>
    <w:rsid w:val="003D5807"/>
    <w:rsid w:val="003D6689"/>
    <w:rsid w:val="0040095F"/>
    <w:rsid w:val="0044072A"/>
    <w:rsid w:val="00447FDF"/>
    <w:rsid w:val="00450FD8"/>
    <w:rsid w:val="00454021"/>
    <w:rsid w:val="004542D7"/>
    <w:rsid w:val="004745E5"/>
    <w:rsid w:val="00485371"/>
    <w:rsid w:val="00486BD2"/>
    <w:rsid w:val="00495572"/>
    <w:rsid w:val="004A2B19"/>
    <w:rsid w:val="004B1E5E"/>
    <w:rsid w:val="004C19A5"/>
    <w:rsid w:val="004C20B6"/>
    <w:rsid w:val="004C230A"/>
    <w:rsid w:val="004D7C31"/>
    <w:rsid w:val="004E1517"/>
    <w:rsid w:val="004E15D2"/>
    <w:rsid w:val="004F69EA"/>
    <w:rsid w:val="00503819"/>
    <w:rsid w:val="00505EED"/>
    <w:rsid w:val="00514041"/>
    <w:rsid w:val="005372DC"/>
    <w:rsid w:val="00560FB2"/>
    <w:rsid w:val="005820A4"/>
    <w:rsid w:val="00582B17"/>
    <w:rsid w:val="005863E4"/>
    <w:rsid w:val="00591F6D"/>
    <w:rsid w:val="005A2E68"/>
    <w:rsid w:val="005B10EA"/>
    <w:rsid w:val="005C31C3"/>
    <w:rsid w:val="005D45E1"/>
    <w:rsid w:val="005F0242"/>
    <w:rsid w:val="0060051E"/>
    <w:rsid w:val="00605640"/>
    <w:rsid w:val="00630599"/>
    <w:rsid w:val="006437A7"/>
    <w:rsid w:val="00643EA8"/>
    <w:rsid w:val="0064561D"/>
    <w:rsid w:val="0068015E"/>
    <w:rsid w:val="00680BE6"/>
    <w:rsid w:val="0068505B"/>
    <w:rsid w:val="00693E8B"/>
    <w:rsid w:val="00695E57"/>
    <w:rsid w:val="006A3CDE"/>
    <w:rsid w:val="006A44EF"/>
    <w:rsid w:val="006B13F0"/>
    <w:rsid w:val="006B1A95"/>
    <w:rsid w:val="006C6C83"/>
    <w:rsid w:val="006D415B"/>
    <w:rsid w:val="006F5EA5"/>
    <w:rsid w:val="00723878"/>
    <w:rsid w:val="00751E7D"/>
    <w:rsid w:val="0075234E"/>
    <w:rsid w:val="00756C18"/>
    <w:rsid w:val="00760B50"/>
    <w:rsid w:val="007723E6"/>
    <w:rsid w:val="007A101F"/>
    <w:rsid w:val="007A39F4"/>
    <w:rsid w:val="007C6A84"/>
    <w:rsid w:val="007C6B2D"/>
    <w:rsid w:val="007D1EE1"/>
    <w:rsid w:val="007D6DB4"/>
    <w:rsid w:val="007F48D2"/>
    <w:rsid w:val="0081390A"/>
    <w:rsid w:val="008175E6"/>
    <w:rsid w:val="00834208"/>
    <w:rsid w:val="00843E25"/>
    <w:rsid w:val="008657B5"/>
    <w:rsid w:val="008807E7"/>
    <w:rsid w:val="00885F7B"/>
    <w:rsid w:val="00886A61"/>
    <w:rsid w:val="00897D0E"/>
    <w:rsid w:val="008C28E2"/>
    <w:rsid w:val="008D0137"/>
    <w:rsid w:val="008E1C11"/>
    <w:rsid w:val="00914AB6"/>
    <w:rsid w:val="009151FF"/>
    <w:rsid w:val="009240A3"/>
    <w:rsid w:val="009308F2"/>
    <w:rsid w:val="009359D4"/>
    <w:rsid w:val="00945AE2"/>
    <w:rsid w:val="00961F11"/>
    <w:rsid w:val="00974DF5"/>
    <w:rsid w:val="009907DC"/>
    <w:rsid w:val="009A16DF"/>
    <w:rsid w:val="009B1B96"/>
    <w:rsid w:val="00A07E0C"/>
    <w:rsid w:val="00A111F8"/>
    <w:rsid w:val="00A16006"/>
    <w:rsid w:val="00A23C3A"/>
    <w:rsid w:val="00A52BB6"/>
    <w:rsid w:val="00A603CA"/>
    <w:rsid w:val="00A620E8"/>
    <w:rsid w:val="00A6216E"/>
    <w:rsid w:val="00A75D5A"/>
    <w:rsid w:val="00A82F78"/>
    <w:rsid w:val="00A90438"/>
    <w:rsid w:val="00AA5CCB"/>
    <w:rsid w:val="00AA7CE4"/>
    <w:rsid w:val="00AC4106"/>
    <w:rsid w:val="00AC48D5"/>
    <w:rsid w:val="00AD4B43"/>
    <w:rsid w:val="00AF5AC3"/>
    <w:rsid w:val="00B23BFA"/>
    <w:rsid w:val="00B2413D"/>
    <w:rsid w:val="00B31A87"/>
    <w:rsid w:val="00B32544"/>
    <w:rsid w:val="00B427C2"/>
    <w:rsid w:val="00B812FD"/>
    <w:rsid w:val="00B82834"/>
    <w:rsid w:val="00B9009A"/>
    <w:rsid w:val="00B93E79"/>
    <w:rsid w:val="00BA2B5D"/>
    <w:rsid w:val="00BA5BC0"/>
    <w:rsid w:val="00BA7D63"/>
    <w:rsid w:val="00BB5A3B"/>
    <w:rsid w:val="00BB5D3D"/>
    <w:rsid w:val="00BB6601"/>
    <w:rsid w:val="00BB6B41"/>
    <w:rsid w:val="00BE64A4"/>
    <w:rsid w:val="00BF664C"/>
    <w:rsid w:val="00BF6884"/>
    <w:rsid w:val="00BF7A00"/>
    <w:rsid w:val="00C029DC"/>
    <w:rsid w:val="00C05C14"/>
    <w:rsid w:val="00C17346"/>
    <w:rsid w:val="00C35538"/>
    <w:rsid w:val="00C72F5A"/>
    <w:rsid w:val="00C7645B"/>
    <w:rsid w:val="00CA1860"/>
    <w:rsid w:val="00CB14DA"/>
    <w:rsid w:val="00CE779D"/>
    <w:rsid w:val="00CE7952"/>
    <w:rsid w:val="00CF5188"/>
    <w:rsid w:val="00D0174F"/>
    <w:rsid w:val="00D2325B"/>
    <w:rsid w:val="00D365A6"/>
    <w:rsid w:val="00D47796"/>
    <w:rsid w:val="00D557CD"/>
    <w:rsid w:val="00D617EC"/>
    <w:rsid w:val="00D708BB"/>
    <w:rsid w:val="00D75E72"/>
    <w:rsid w:val="00DD0F8D"/>
    <w:rsid w:val="00DD38B1"/>
    <w:rsid w:val="00DD7F1F"/>
    <w:rsid w:val="00DE1688"/>
    <w:rsid w:val="00DE3716"/>
    <w:rsid w:val="00DE402F"/>
    <w:rsid w:val="00E34B0D"/>
    <w:rsid w:val="00E35122"/>
    <w:rsid w:val="00E66C7A"/>
    <w:rsid w:val="00E87960"/>
    <w:rsid w:val="00EC0AA0"/>
    <w:rsid w:val="00EF7226"/>
    <w:rsid w:val="00F0395D"/>
    <w:rsid w:val="00F10F22"/>
    <w:rsid w:val="00F23EAC"/>
    <w:rsid w:val="00F24B41"/>
    <w:rsid w:val="00F24E77"/>
    <w:rsid w:val="00F33672"/>
    <w:rsid w:val="00F55696"/>
    <w:rsid w:val="00F64CDB"/>
    <w:rsid w:val="00F71F0E"/>
    <w:rsid w:val="00F740E6"/>
    <w:rsid w:val="00F82272"/>
    <w:rsid w:val="00F90A82"/>
    <w:rsid w:val="00F93AB8"/>
    <w:rsid w:val="00F95846"/>
    <w:rsid w:val="00F96161"/>
    <w:rsid w:val="00FA4F25"/>
    <w:rsid w:val="00FC681B"/>
    <w:rsid w:val="00FD3AE3"/>
    <w:rsid w:val="00FD74D8"/>
    <w:rsid w:val="00FE091D"/>
    <w:rsid w:val="00FF0DD5"/>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59343CA6"/>
  <w15:docId w15:val="{8DD4D83C-4F70-4883-9952-3FAFDA0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3"/>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semiHidden/>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paragraph" w:customStyle="1" w:styleId="Outline1">
    <w:name w:val="Outline (1)"/>
    <w:basedOn w:val="BodyText"/>
    <w:link w:val="Outline1Char0"/>
    <w:rsid w:val="008D0137"/>
    <w:pPr>
      <w:tabs>
        <w:tab w:val="left" w:pos="158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8D0137"/>
    <w:rPr>
      <w:rFonts w:ascii="Times New Roman" w:eastAsia="Times New Roman" w:hAnsi="Times New Roman" w:cs="Times New Roman"/>
      <w:sz w:val="24"/>
      <w:szCs w:val="20"/>
    </w:rPr>
  </w:style>
  <w:style w:type="character" w:styleId="CommentReference">
    <w:name w:val="annotation reference"/>
    <w:rsid w:val="008D0137"/>
    <w:rPr>
      <w:sz w:val="16"/>
      <w:szCs w:val="16"/>
    </w:rPr>
  </w:style>
  <w:style w:type="paragraph" w:styleId="CommentText">
    <w:name w:val="annotation text"/>
    <w:basedOn w:val="Normal"/>
    <w:link w:val="CommentTextChar"/>
    <w:uiPriority w:val="99"/>
    <w:semiHidden/>
    <w:unhideWhenUsed/>
    <w:rsid w:val="008D01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0137"/>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6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ansit.dot.gov/sites/fta.dot.gov/files/docs/FTA_Title_VI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E527A0-7500-4559-8E81-4011E5F89ECC}">
  <ds:schemaRefs>
    <ds:schemaRef ds:uri="http://schemas.openxmlformats.org/officeDocument/2006/bibliography"/>
  </ds:schemaRefs>
</ds:datastoreItem>
</file>

<file path=customXml/itemProps2.xml><?xml version="1.0" encoding="utf-8"?>
<ds:datastoreItem xmlns:ds="http://schemas.openxmlformats.org/officeDocument/2006/customXml" ds:itemID="{5962F71E-00E6-40D6-8B30-91C7A0D11816}"/>
</file>

<file path=customXml/itemProps3.xml><?xml version="1.0" encoding="utf-8"?>
<ds:datastoreItem xmlns:ds="http://schemas.openxmlformats.org/officeDocument/2006/customXml" ds:itemID="{75742D1A-3113-4F3C-B11E-5B572CADFE6A}"/>
</file>

<file path=customXml/itemProps4.xml><?xml version="1.0" encoding="utf-8"?>
<ds:datastoreItem xmlns:ds="http://schemas.openxmlformats.org/officeDocument/2006/customXml" ds:itemID="{3C0585A8-37A5-4E09-BAC2-8F490FC050FF}"/>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Title VI Template</vt:lpstr>
    </vt:vector>
  </TitlesOfParts>
  <Company>Wisconsin Department of Transportation</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VI/ADA/Nondiscrimination Plan Template Appendix</dc:title>
  <dc:subject>Title VI Template</dc:subject>
  <dc:creator>WisDOT</dc:creator>
  <cp:lastModifiedBy>Dan</cp:lastModifiedBy>
  <cp:revision>2</cp:revision>
  <cp:lastPrinted>2020-02-07T17:09:00Z</cp:lastPrinted>
  <dcterms:created xsi:type="dcterms:W3CDTF">2024-02-20T14:21:00Z</dcterms:created>
  <dcterms:modified xsi:type="dcterms:W3CDTF">2024-02-20T14:21:00Z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