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4E74" w14:textId="395BBFA6" w:rsidR="00375F11" w:rsidRPr="00375F11" w:rsidRDefault="007003E4" w:rsidP="00375F11">
      <w:pPr>
        <w:spacing w:after="0" w:line="240" w:lineRule="auto"/>
        <w:jc w:val="right"/>
        <w:rPr>
          <w:rFonts w:cstheme="minorHAnsi"/>
          <w:b/>
          <w:color w:val="000000" w:themeColor="text1"/>
          <w:sz w:val="36"/>
          <w:szCs w:val="36"/>
        </w:rPr>
      </w:pPr>
      <w:bookmarkStart w:id="0" w:name="_Hlk30597292"/>
      <w:r>
        <w:rPr>
          <w:rFonts w:cstheme="minorHAnsi"/>
          <w:b/>
          <w:color w:val="000000" w:themeColor="text1"/>
          <w:sz w:val="36"/>
          <w:szCs w:val="36"/>
        </w:rPr>
        <w:t>A</w:t>
      </w:r>
      <w:r w:rsidR="00375F11" w:rsidRPr="00375F11">
        <w:rPr>
          <w:rFonts w:cstheme="minorHAnsi"/>
          <w:b/>
          <w:color w:val="000000" w:themeColor="text1"/>
          <w:sz w:val="36"/>
          <w:szCs w:val="36"/>
        </w:rPr>
        <w:t xml:space="preserve">ppendix </w:t>
      </w:r>
      <w:r w:rsidR="002D50EC">
        <w:rPr>
          <w:rFonts w:cstheme="minorHAnsi"/>
          <w:b/>
          <w:color w:val="000000" w:themeColor="text1"/>
          <w:sz w:val="36"/>
          <w:szCs w:val="36"/>
        </w:rPr>
        <w:t>10</w:t>
      </w:r>
    </w:p>
    <w:p w14:paraId="3B9EA370" w14:textId="77777777" w:rsidR="00375F11" w:rsidRPr="00375F11" w:rsidRDefault="00375F11" w:rsidP="00375F11">
      <w:pPr>
        <w:spacing w:after="0" w:line="240" w:lineRule="auto"/>
        <w:jc w:val="center"/>
        <w:rPr>
          <w:rFonts w:cstheme="minorHAnsi"/>
          <w:i/>
          <w:color w:val="FF0000"/>
          <w:sz w:val="36"/>
          <w:szCs w:val="36"/>
        </w:rPr>
      </w:pPr>
      <w:r w:rsidRPr="00375F11">
        <w:rPr>
          <w:rFonts w:cstheme="minorHAnsi"/>
          <w:i/>
          <w:color w:val="FF0000"/>
          <w:sz w:val="36"/>
          <w:szCs w:val="36"/>
        </w:rPr>
        <w:t>Sample Template</w:t>
      </w:r>
    </w:p>
    <w:p w14:paraId="4FF0DDB9" w14:textId="77777777" w:rsidR="00375F11" w:rsidRPr="00375F11" w:rsidRDefault="00375F11" w:rsidP="00505EED">
      <w:pP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</w:rPr>
      </w:pPr>
    </w:p>
    <w:p w14:paraId="6676DA78" w14:textId="77777777" w:rsidR="00505EED" w:rsidRDefault="00505EED" w:rsidP="00505E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E091D">
        <w:rPr>
          <w:rFonts w:cstheme="minorHAnsi"/>
          <w:b/>
          <w:color w:val="000000" w:themeColor="text1"/>
          <w:sz w:val="28"/>
          <w:szCs w:val="28"/>
        </w:rPr>
        <w:t>Fixed Route Service Standards</w:t>
      </w:r>
      <w:r w:rsidR="008978D0">
        <w:rPr>
          <w:rStyle w:val="FootnoteReference"/>
          <w:rFonts w:cstheme="minorHAnsi"/>
          <w:b/>
          <w:color w:val="000000" w:themeColor="text1"/>
          <w:sz w:val="28"/>
          <w:szCs w:val="28"/>
        </w:rPr>
        <w:footnoteReference w:id="1"/>
      </w:r>
    </w:p>
    <w:p w14:paraId="78A82CBE" w14:textId="77777777" w:rsidR="00FE091D" w:rsidRPr="00FE091D" w:rsidRDefault="00FE091D" w:rsidP="00505EED">
      <w:pP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</w:rPr>
      </w:pPr>
    </w:p>
    <w:p w14:paraId="66C97E97" w14:textId="77777777" w:rsidR="00505EED" w:rsidRDefault="00505EED" w:rsidP="00505EED">
      <w:pPr>
        <w:spacing w:after="0" w:line="240" w:lineRule="auto"/>
        <w:jc w:val="center"/>
        <w:rPr>
          <w:rFonts w:cstheme="minorHAnsi"/>
          <w:i/>
          <w:color w:val="002060"/>
          <w:sz w:val="24"/>
          <w:szCs w:val="24"/>
        </w:rPr>
      </w:pPr>
      <w:r w:rsidRPr="00FE091D">
        <w:rPr>
          <w:rFonts w:cstheme="minorHAnsi"/>
          <w:i/>
          <w:color w:val="002060"/>
          <w:sz w:val="24"/>
          <w:szCs w:val="24"/>
        </w:rPr>
        <w:t>(For all Fixed Route Transit Providers)</w:t>
      </w:r>
    </w:p>
    <w:p w14:paraId="5B0A5393" w14:textId="77777777" w:rsidR="005933F3" w:rsidRPr="005933F3" w:rsidRDefault="005933F3" w:rsidP="00505EED">
      <w:pPr>
        <w:spacing w:after="0" w:line="240" w:lineRule="auto"/>
        <w:jc w:val="center"/>
        <w:rPr>
          <w:rFonts w:cstheme="minorHAnsi"/>
          <w:i/>
          <w:color w:val="FF0000"/>
          <w:sz w:val="10"/>
          <w:szCs w:val="10"/>
        </w:rPr>
      </w:pPr>
    </w:p>
    <w:p w14:paraId="36351DBF" w14:textId="77777777" w:rsidR="005933F3" w:rsidRPr="00A06699" w:rsidRDefault="005933F3" w:rsidP="005933F3">
      <w:pPr>
        <w:spacing w:after="0" w:line="240" w:lineRule="auto"/>
        <w:rPr>
          <w:rFonts w:cstheme="minorHAnsi"/>
          <w:color w:val="000000" w:themeColor="text1"/>
        </w:rPr>
      </w:pPr>
      <w:r w:rsidRPr="00A06699">
        <w:rPr>
          <w:rFonts w:cstheme="minorHAnsi"/>
          <w:color w:val="000000" w:themeColor="text1"/>
        </w:rPr>
        <w:t xml:space="preserve">FTA requires all fixed route transit providers of public transportation to develop </w:t>
      </w:r>
      <w:r w:rsidRPr="00A9610B">
        <w:rPr>
          <w:rFonts w:cstheme="minorHAnsi"/>
          <w:i/>
          <w:color w:val="000000" w:themeColor="text1"/>
        </w:rPr>
        <w:t>quantitative</w:t>
      </w:r>
      <w:r w:rsidRPr="00A06699">
        <w:rPr>
          <w:rFonts w:cstheme="minorHAnsi"/>
          <w:color w:val="000000" w:themeColor="text1"/>
        </w:rPr>
        <w:t xml:space="preserve"> standards for vehicle load, vehicle headway, on-time performance and service availability. Individual public transportation providers set these standards; therefore, these standards apply to each individual agency rather than across the entire transit industry. </w:t>
      </w:r>
    </w:p>
    <w:p w14:paraId="2EC2FF15" w14:textId="77777777" w:rsidR="004C20B6" w:rsidRPr="005933F3" w:rsidRDefault="004C20B6" w:rsidP="00505EED">
      <w:pPr>
        <w:spacing w:after="0" w:line="240" w:lineRule="auto"/>
        <w:jc w:val="center"/>
        <w:rPr>
          <w:rFonts w:cstheme="minorHAnsi"/>
          <w:i/>
          <w:color w:val="002060"/>
          <w:sz w:val="24"/>
          <w:szCs w:val="24"/>
        </w:rPr>
      </w:pPr>
    </w:p>
    <w:p w14:paraId="09C0822D" w14:textId="77777777" w:rsidR="00505EED" w:rsidRPr="00FE091D" w:rsidRDefault="00086B0A" w:rsidP="0050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4"/>
          <w:szCs w:val="24"/>
        </w:rPr>
        <w:t>Vehicle Load</w:t>
      </w:r>
      <w:r w:rsidR="008978D0">
        <w:rPr>
          <w:rStyle w:val="FootnoteReference"/>
          <w:rFonts w:cstheme="minorHAnsi"/>
          <w:b/>
          <w:i/>
          <w:sz w:val="26"/>
          <w:szCs w:val="26"/>
        </w:rPr>
        <w:footnoteReference w:id="2"/>
      </w:r>
    </w:p>
    <w:p w14:paraId="394EBF01" w14:textId="77777777" w:rsidR="009A16DF" w:rsidRDefault="00505EED" w:rsidP="006D1190">
      <w:pPr>
        <w:spacing w:line="240" w:lineRule="auto"/>
        <w:rPr>
          <w:rFonts w:cstheme="minorHAnsi"/>
        </w:rPr>
      </w:pPr>
      <w:r w:rsidRPr="005863E4">
        <w:rPr>
          <w:rFonts w:cstheme="minorHAnsi"/>
        </w:rPr>
        <w:t>The average of all loads during the peak operating period should not exceed vehicles’ achievable capacities, which are 30 passengers for a</w:t>
      </w:r>
      <w:r w:rsidR="00D31460">
        <w:rPr>
          <w:rFonts w:cstheme="minorHAnsi"/>
        </w:rPr>
        <w:t xml:space="preserve"> </w:t>
      </w:r>
      <w:r w:rsidRPr="005863E4">
        <w:rPr>
          <w:rFonts w:cstheme="minorHAnsi"/>
        </w:rPr>
        <w:t>15</w:t>
      </w:r>
      <w:r w:rsidR="00D31460">
        <w:rPr>
          <w:rFonts w:cstheme="minorHAnsi"/>
        </w:rPr>
        <w:t>-foot</w:t>
      </w:r>
      <w:r w:rsidRPr="005863E4">
        <w:rPr>
          <w:rFonts w:cstheme="minorHAnsi"/>
        </w:rPr>
        <w:t xml:space="preserve"> mini-bus, 51 passengers for low-floor 40-foot buses, 60 passengers </w:t>
      </w:r>
      <w:r w:rsidR="006D1190">
        <w:rPr>
          <w:rFonts w:cstheme="minorHAnsi"/>
        </w:rPr>
        <w:t>f</w:t>
      </w:r>
      <w:r w:rsidRPr="005863E4">
        <w:rPr>
          <w:rFonts w:cstheme="minorHAnsi"/>
        </w:rPr>
        <w:t>or standard 40-foot buses</w:t>
      </w:r>
      <w:r w:rsidR="006D1190">
        <w:rPr>
          <w:rFonts w:cstheme="minorHAnsi"/>
        </w:rPr>
        <w:t xml:space="preserve">. </w:t>
      </w:r>
    </w:p>
    <w:p w14:paraId="1D026E38" w14:textId="77777777" w:rsidR="00505EED" w:rsidRPr="006D1190" w:rsidRDefault="00A06699" w:rsidP="006D1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b/>
          <w:i/>
          <w:sz w:val="24"/>
          <w:szCs w:val="24"/>
        </w:rPr>
        <w:t>Vehicle Headway</w:t>
      </w:r>
      <w:r w:rsidR="008978D0">
        <w:rPr>
          <w:rStyle w:val="FootnoteReference"/>
          <w:rFonts w:cstheme="minorHAnsi"/>
          <w:b/>
          <w:i/>
          <w:sz w:val="26"/>
          <w:szCs w:val="26"/>
        </w:rPr>
        <w:footnoteReference w:id="3"/>
      </w:r>
    </w:p>
    <w:p w14:paraId="014B208E" w14:textId="77777777" w:rsidR="006D1190" w:rsidRPr="005863E4" w:rsidRDefault="006D1190" w:rsidP="006D1190">
      <w:pPr>
        <w:spacing w:line="240" w:lineRule="auto"/>
        <w:rPr>
          <w:rFonts w:cstheme="minorHAnsi"/>
        </w:rPr>
      </w:pPr>
      <w:r w:rsidRPr="005863E4">
        <w:rPr>
          <w:rFonts w:cstheme="minorHAnsi"/>
        </w:rPr>
        <w:t xml:space="preserve">Service operates on </w:t>
      </w:r>
      <w:r>
        <w:rPr>
          <w:rFonts w:cstheme="minorHAnsi"/>
        </w:rPr>
        <w:t xml:space="preserve">local and </w:t>
      </w:r>
      <w:r w:rsidRPr="005863E4">
        <w:rPr>
          <w:rFonts w:cstheme="minorHAnsi"/>
        </w:rPr>
        <w:t xml:space="preserve">regional </w:t>
      </w:r>
      <w:r>
        <w:rPr>
          <w:rFonts w:cstheme="minorHAnsi"/>
        </w:rPr>
        <w:t xml:space="preserve">routes that range from </w:t>
      </w:r>
      <w:r w:rsidRPr="006D1190">
        <w:rPr>
          <w:rFonts w:cstheme="minorHAnsi"/>
          <w:highlight w:val="yellow"/>
        </w:rPr>
        <w:t>XX</w:t>
      </w:r>
      <w:r>
        <w:rPr>
          <w:rFonts w:cstheme="minorHAnsi"/>
        </w:rPr>
        <w:t xml:space="preserve"> minutes or better from early morning to late in the evening, six days a week, Monday to Thursday, service should begin no later than </w:t>
      </w:r>
      <w:r w:rsidRPr="006D1190">
        <w:rPr>
          <w:rFonts w:cstheme="minorHAnsi"/>
          <w:highlight w:val="yellow"/>
        </w:rPr>
        <w:t>XX</w:t>
      </w:r>
      <w:r w:rsidRPr="005950F1">
        <w:rPr>
          <w:rFonts w:cstheme="minorHAnsi"/>
          <w:highlight w:val="yellow"/>
        </w:rPr>
        <w:t>:00 a.m.</w:t>
      </w:r>
      <w:r>
        <w:rPr>
          <w:rFonts w:cstheme="minorHAnsi"/>
        </w:rPr>
        <w:t xml:space="preserve"> and continue until </w:t>
      </w:r>
      <w:r w:rsidRPr="005950F1">
        <w:rPr>
          <w:rFonts w:cstheme="minorHAnsi"/>
          <w:highlight w:val="yellow"/>
        </w:rPr>
        <w:t>XX:00 p.m.</w:t>
      </w:r>
      <w:r>
        <w:rPr>
          <w:rFonts w:cstheme="minorHAnsi"/>
        </w:rPr>
        <w:t xml:space="preserve"> Friday and Saturday, service should begin by </w:t>
      </w:r>
      <w:r w:rsidRPr="005950F1">
        <w:rPr>
          <w:rFonts w:cstheme="minorHAnsi"/>
          <w:highlight w:val="yellow"/>
        </w:rPr>
        <w:t>XX:00 a.m.</w:t>
      </w:r>
      <w:r>
        <w:rPr>
          <w:rFonts w:cstheme="minorHAnsi"/>
        </w:rPr>
        <w:t xml:space="preserve"> and continue until </w:t>
      </w:r>
      <w:r w:rsidRPr="005950F1">
        <w:rPr>
          <w:rFonts w:cstheme="minorHAnsi"/>
          <w:highlight w:val="yellow"/>
        </w:rPr>
        <w:t>XX:00 a.m.</w:t>
      </w:r>
      <w:r>
        <w:rPr>
          <w:rFonts w:cstheme="minorHAnsi"/>
        </w:rPr>
        <w:t xml:space="preserve"> </w:t>
      </w:r>
    </w:p>
    <w:p w14:paraId="3A2CA2A1" w14:textId="77777777" w:rsidR="00505EED" w:rsidRPr="005863E4" w:rsidRDefault="00505EED" w:rsidP="00505EED">
      <w:pPr>
        <w:spacing w:line="240" w:lineRule="auto"/>
        <w:rPr>
          <w:rFonts w:cstheme="minorHAnsi"/>
        </w:rPr>
      </w:pPr>
      <w:r w:rsidRPr="005863E4">
        <w:rPr>
          <w:rFonts w:cstheme="minorHAnsi"/>
        </w:rPr>
        <w:t>Scheduling involves the consideration of a number of factors including</w:t>
      </w:r>
      <w:r w:rsidR="00C67C66">
        <w:rPr>
          <w:rFonts w:cstheme="minorHAnsi"/>
        </w:rPr>
        <w:t xml:space="preserve"> -</w:t>
      </w:r>
      <w:r w:rsidRPr="005863E4">
        <w:rPr>
          <w:rFonts w:cstheme="minorHAnsi"/>
        </w:rPr>
        <w:t xml:space="preserve"> ridership productivity, transit/pedestrian friendly streets, density of transit-dependent population and activities, relationship to the Regional Transportation Plan, relationship to major transportation developments, land use connectivity, and transportation demand management. </w:t>
      </w:r>
    </w:p>
    <w:p w14:paraId="5D67D96C" w14:textId="77777777" w:rsidR="00505EED" w:rsidRPr="00FE091D" w:rsidRDefault="00505EED" w:rsidP="0050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240" w:lineRule="auto"/>
        <w:rPr>
          <w:rFonts w:cstheme="minorHAnsi"/>
          <w:b/>
          <w:i/>
          <w:sz w:val="26"/>
          <w:szCs w:val="26"/>
        </w:rPr>
      </w:pPr>
      <w:r w:rsidRPr="00A06699">
        <w:rPr>
          <w:rFonts w:cstheme="minorHAnsi"/>
          <w:b/>
          <w:i/>
          <w:sz w:val="24"/>
          <w:szCs w:val="24"/>
        </w:rPr>
        <w:t>On-Time Performance</w:t>
      </w:r>
      <w:r w:rsidR="005933F3">
        <w:rPr>
          <w:rStyle w:val="FootnoteReference"/>
          <w:rFonts w:cstheme="minorHAnsi"/>
          <w:b/>
          <w:i/>
          <w:sz w:val="26"/>
          <w:szCs w:val="26"/>
        </w:rPr>
        <w:footnoteReference w:id="4"/>
      </w:r>
    </w:p>
    <w:p w14:paraId="740CEEDB" w14:textId="77777777" w:rsidR="00505EED" w:rsidRDefault="00505EED" w:rsidP="00505EED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vehicle is considered on time if it departs a scheduled time point no more than </w:t>
      </w:r>
      <w:r w:rsidR="008978D0" w:rsidRPr="008978D0">
        <w:rPr>
          <w:rFonts w:cstheme="minorHAnsi"/>
          <w:highlight w:val="yellow"/>
        </w:rPr>
        <w:t xml:space="preserve">(1) </w:t>
      </w:r>
      <w:r w:rsidRPr="008978D0">
        <w:rPr>
          <w:rFonts w:cstheme="minorHAnsi"/>
          <w:highlight w:val="yellow"/>
        </w:rPr>
        <w:t>one</w:t>
      </w:r>
      <w:r w:rsidRPr="005863E4">
        <w:rPr>
          <w:rFonts w:cstheme="minorHAnsi"/>
        </w:rPr>
        <w:t xml:space="preserve"> minute early and not more than </w:t>
      </w:r>
      <w:r w:rsidR="008978D0" w:rsidRPr="008978D0">
        <w:rPr>
          <w:rFonts w:cstheme="minorHAnsi"/>
          <w:highlight w:val="yellow"/>
        </w:rPr>
        <w:t xml:space="preserve">(5) </w:t>
      </w:r>
      <w:r w:rsidRPr="008978D0">
        <w:rPr>
          <w:rFonts w:cstheme="minorHAnsi"/>
          <w:highlight w:val="yellow"/>
        </w:rPr>
        <w:t>five</w:t>
      </w:r>
      <w:r w:rsidRPr="005863E4">
        <w:rPr>
          <w:rFonts w:cstheme="minorHAnsi"/>
        </w:rPr>
        <w:t xml:space="preserve"> minutes late. The </w:t>
      </w:r>
      <w:r w:rsidRPr="006D1190">
        <w:rPr>
          <w:rFonts w:cstheme="minorHAnsi"/>
          <w:b/>
        </w:rPr>
        <w:t>City of USA’s</w:t>
      </w:r>
      <w:r w:rsidRPr="005863E4">
        <w:rPr>
          <w:rFonts w:cstheme="minorHAnsi"/>
        </w:rPr>
        <w:t xml:space="preserve"> on-time performance objective is </w:t>
      </w:r>
      <w:r w:rsidRPr="008978D0">
        <w:rPr>
          <w:rFonts w:cstheme="minorHAnsi"/>
          <w:highlight w:val="yellow"/>
        </w:rPr>
        <w:t>90%</w:t>
      </w:r>
      <w:r w:rsidRPr="005863E4">
        <w:rPr>
          <w:rFonts w:cstheme="minorHAnsi"/>
        </w:rPr>
        <w:t xml:space="preserve"> or greater. The </w:t>
      </w:r>
      <w:r w:rsidRPr="006D1190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 continuously monitors on-time performance </w:t>
      </w:r>
      <w:r w:rsidR="006D1190">
        <w:rPr>
          <w:rFonts w:cstheme="minorHAnsi"/>
        </w:rPr>
        <w:t xml:space="preserve">standards. </w:t>
      </w:r>
    </w:p>
    <w:p w14:paraId="2F34339B" w14:textId="77777777" w:rsidR="00505EED" w:rsidRPr="005863E4" w:rsidRDefault="00505EED" w:rsidP="00505EED">
      <w:pPr>
        <w:spacing w:after="0" w:line="240" w:lineRule="auto"/>
        <w:rPr>
          <w:rFonts w:cstheme="minorHAnsi"/>
        </w:rPr>
      </w:pPr>
    </w:p>
    <w:p w14:paraId="00AC9874" w14:textId="77777777" w:rsidR="00505EED" w:rsidRPr="00FE091D" w:rsidRDefault="00505EED" w:rsidP="0050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15"/>
        </w:tabs>
        <w:spacing w:line="240" w:lineRule="auto"/>
        <w:rPr>
          <w:rFonts w:cstheme="minorHAnsi"/>
          <w:b/>
          <w:i/>
          <w:sz w:val="26"/>
          <w:szCs w:val="26"/>
        </w:rPr>
      </w:pPr>
      <w:r w:rsidRPr="00A06699">
        <w:rPr>
          <w:rFonts w:cstheme="minorHAnsi"/>
          <w:b/>
          <w:i/>
          <w:sz w:val="24"/>
          <w:szCs w:val="24"/>
        </w:rPr>
        <w:t>Service Availability</w:t>
      </w:r>
      <w:r w:rsidR="005933F3">
        <w:rPr>
          <w:rStyle w:val="FootnoteReference"/>
          <w:rFonts w:cstheme="minorHAnsi"/>
          <w:b/>
          <w:i/>
          <w:sz w:val="26"/>
          <w:szCs w:val="26"/>
        </w:rPr>
        <w:footnoteReference w:id="5"/>
      </w:r>
    </w:p>
    <w:p w14:paraId="78615721" w14:textId="77777777" w:rsidR="00D0174F" w:rsidRPr="005863E4" w:rsidRDefault="00505EED" w:rsidP="00A06699">
      <w:pPr>
        <w:spacing w:line="240" w:lineRule="auto"/>
        <w:rPr>
          <w:rFonts w:cstheme="minorHAnsi"/>
        </w:rPr>
      </w:pPr>
      <w:r w:rsidRPr="005863E4">
        <w:rPr>
          <w:rFonts w:cstheme="minorHAnsi"/>
        </w:rPr>
        <w:t xml:space="preserve">The </w:t>
      </w:r>
      <w:r w:rsidRPr="006D1190">
        <w:rPr>
          <w:rFonts w:cstheme="minorHAnsi"/>
          <w:b/>
        </w:rPr>
        <w:t>City of USA</w:t>
      </w:r>
      <w:r w:rsidRPr="005863E4">
        <w:rPr>
          <w:rFonts w:cstheme="minorHAnsi"/>
        </w:rPr>
        <w:t xml:space="preserve"> will distribute transit service so that 90% of all residents in</w:t>
      </w:r>
      <w:r w:rsidR="006D1190">
        <w:rPr>
          <w:rFonts w:cstheme="minorHAnsi"/>
        </w:rPr>
        <w:t xml:space="preserve"> the service area are within a 1/2</w:t>
      </w:r>
      <w:r w:rsidRPr="005863E4">
        <w:rPr>
          <w:rFonts w:cstheme="minorHAnsi"/>
        </w:rPr>
        <w:t xml:space="preserve"> mile walk of bus service.</w:t>
      </w:r>
      <w:r w:rsidR="00A06699">
        <w:rPr>
          <w:rFonts w:cstheme="minorHAnsi"/>
        </w:rPr>
        <w:t xml:space="preserve">  </w:t>
      </w:r>
      <w:r w:rsidRPr="005863E4">
        <w:rPr>
          <w:rFonts w:cstheme="minorHAnsi"/>
        </w:rPr>
        <w:t xml:space="preserve">Local bus stops will not be more than </w:t>
      </w:r>
      <w:r w:rsidR="008978D0">
        <w:rPr>
          <w:rFonts w:cstheme="minorHAnsi"/>
        </w:rPr>
        <w:t xml:space="preserve">(3) three blocks </w:t>
      </w:r>
      <w:r w:rsidRPr="005863E4">
        <w:rPr>
          <w:rFonts w:cstheme="minorHAnsi"/>
        </w:rPr>
        <w:t xml:space="preserve">apart. </w:t>
      </w:r>
      <w:r w:rsidR="005950F1">
        <w:rPr>
          <w:rFonts w:cstheme="minorHAnsi"/>
        </w:rPr>
        <w:t xml:space="preserve">Fixed bus stop will be one-half </w:t>
      </w:r>
      <w:r w:rsidRPr="005863E4">
        <w:rPr>
          <w:rFonts w:cstheme="minorHAnsi"/>
        </w:rPr>
        <w:t>to three-quarters of a mile apart.</w:t>
      </w:r>
    </w:p>
    <w:bookmarkEnd w:id="0"/>
    <w:sectPr w:rsidR="00D0174F" w:rsidRPr="005863E4" w:rsidSect="00375F11">
      <w:footerReference w:type="default" r:id="rId8"/>
      <w:pgSz w:w="12240" w:h="15840"/>
      <w:pgMar w:top="720" w:right="1440" w:bottom="576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98D4" w14:textId="77777777" w:rsidR="00F24E77" w:rsidRDefault="00F24E77" w:rsidP="00DD0F8D">
      <w:pPr>
        <w:spacing w:after="0" w:line="240" w:lineRule="auto"/>
      </w:pPr>
      <w:r>
        <w:separator/>
      </w:r>
    </w:p>
  </w:endnote>
  <w:endnote w:type="continuationSeparator" w:id="0">
    <w:p w14:paraId="70909919" w14:textId="77777777" w:rsidR="00F24E77" w:rsidRDefault="00F24E77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892E5C" w14:textId="77777777" w:rsidR="00F24E77" w:rsidRDefault="00F24E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C44508" w14:textId="77777777" w:rsidR="00F24E77" w:rsidRDefault="00F24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87A6" w14:textId="77777777" w:rsidR="00F24E77" w:rsidRDefault="00F24E77" w:rsidP="00DD0F8D">
      <w:pPr>
        <w:spacing w:after="0" w:line="240" w:lineRule="auto"/>
      </w:pPr>
      <w:r>
        <w:separator/>
      </w:r>
    </w:p>
  </w:footnote>
  <w:footnote w:type="continuationSeparator" w:id="0">
    <w:p w14:paraId="3A8A8564" w14:textId="77777777" w:rsidR="00F24E77" w:rsidRDefault="00F24E77" w:rsidP="00DD0F8D">
      <w:pPr>
        <w:spacing w:after="0" w:line="240" w:lineRule="auto"/>
      </w:pPr>
      <w:r>
        <w:continuationSeparator/>
      </w:r>
    </w:p>
  </w:footnote>
  <w:footnote w:id="1">
    <w:p w14:paraId="1A7BBB2A" w14:textId="77777777" w:rsidR="008978D0" w:rsidRDefault="008978D0">
      <w:pPr>
        <w:pStyle w:val="FootnoteText"/>
      </w:pPr>
      <w:r w:rsidRPr="005933F3">
        <w:rPr>
          <w:rStyle w:val="FootnoteReference"/>
          <w:b/>
          <w:sz w:val="22"/>
          <w:szCs w:val="22"/>
        </w:rPr>
        <w:footnoteRef/>
      </w:r>
      <w:r>
        <w:t xml:space="preserve"> </w:t>
      </w:r>
      <w:bookmarkStart w:id="1" w:name="_Hlk58487031"/>
      <w:r>
        <w:t xml:space="preserve">For guidance on how to set system-wide service standards and policies see </w:t>
      </w:r>
      <w:hyperlink r:id="rId1" w:history="1">
        <w:r w:rsidRPr="0030622D">
          <w:rPr>
            <w:rStyle w:val="Hyperlink"/>
          </w:rPr>
          <w:t>FTA C 4702.1</w:t>
        </w:r>
        <w:r w:rsidR="00477767">
          <w:rPr>
            <w:rStyle w:val="Hyperlink"/>
          </w:rPr>
          <w:t>B</w:t>
        </w:r>
      </w:hyperlink>
      <w:r>
        <w:t xml:space="preserve">, </w:t>
      </w:r>
      <w:r w:rsidR="005933F3">
        <w:t xml:space="preserve">Title VI Requirements and Guidelines for FTA Recipients, </w:t>
      </w:r>
      <w:r>
        <w:t>Chapter IV-4, Section 4. Requirement to Set System-Wide Service Standards and Policies</w:t>
      </w:r>
      <w:r w:rsidR="007915DC">
        <w:t xml:space="preserve"> and Appendix G</w:t>
      </w:r>
      <w:r>
        <w:t xml:space="preserve">. </w:t>
      </w:r>
      <w:bookmarkEnd w:id="1"/>
    </w:p>
    <w:p w14:paraId="17C7FDC5" w14:textId="77777777" w:rsidR="005933F3" w:rsidRPr="005933F3" w:rsidRDefault="005933F3">
      <w:pPr>
        <w:pStyle w:val="FootnoteText"/>
        <w:rPr>
          <w:sz w:val="10"/>
          <w:szCs w:val="10"/>
        </w:rPr>
      </w:pPr>
    </w:p>
  </w:footnote>
  <w:footnote w:id="2">
    <w:p w14:paraId="6E5F3B4A" w14:textId="77777777" w:rsidR="008978D0" w:rsidRDefault="008978D0">
      <w:pPr>
        <w:pStyle w:val="FootnoteText"/>
      </w:pPr>
      <w:r w:rsidRPr="005933F3">
        <w:rPr>
          <w:rStyle w:val="FootnoteReference"/>
          <w:b/>
          <w:sz w:val="22"/>
          <w:szCs w:val="22"/>
        </w:rPr>
        <w:footnoteRef/>
      </w:r>
      <w:r w:rsidR="005933F3" w:rsidRPr="005933F3">
        <w:rPr>
          <w:b/>
          <w:sz w:val="22"/>
          <w:szCs w:val="22"/>
        </w:rPr>
        <w:t xml:space="preserve"> </w:t>
      </w:r>
      <w:r w:rsidR="005933F3" w:rsidRPr="005933F3">
        <w:rPr>
          <w:b/>
        </w:rPr>
        <w:t>Vehicle Load</w:t>
      </w:r>
      <w:r>
        <w:t>: Generally expressed as the ratio of passengers to the number of seats on a vehicle, relative to the vehicle’s maximum load point. Transit providers can specify loads for peak. vs. off-peak times.</w:t>
      </w:r>
    </w:p>
    <w:p w14:paraId="56728616" w14:textId="77777777" w:rsidR="008978D0" w:rsidRPr="005933F3" w:rsidRDefault="008978D0">
      <w:pPr>
        <w:pStyle w:val="FootnoteText"/>
        <w:rPr>
          <w:sz w:val="10"/>
          <w:szCs w:val="10"/>
        </w:rPr>
      </w:pPr>
    </w:p>
  </w:footnote>
  <w:footnote w:id="3">
    <w:p w14:paraId="028ECBBE" w14:textId="77777777" w:rsidR="008978D0" w:rsidRDefault="008978D0">
      <w:pPr>
        <w:pStyle w:val="FootnoteText"/>
      </w:pPr>
      <w:r w:rsidRPr="005933F3">
        <w:rPr>
          <w:rStyle w:val="FootnoteReference"/>
          <w:b/>
          <w:sz w:val="22"/>
          <w:szCs w:val="22"/>
        </w:rPr>
        <w:footnoteRef/>
      </w:r>
      <w:r>
        <w:t xml:space="preserve"> </w:t>
      </w:r>
      <w:r w:rsidRPr="005933F3">
        <w:rPr>
          <w:b/>
        </w:rPr>
        <w:t>Vehicle Headway</w:t>
      </w:r>
      <w:r w:rsidR="005933F3">
        <w:t>: The amount of time between two vehicles traveling the same direction on a given route.</w:t>
      </w:r>
    </w:p>
    <w:p w14:paraId="3B2AF205" w14:textId="77777777" w:rsidR="005933F3" w:rsidRPr="005933F3" w:rsidRDefault="005933F3">
      <w:pPr>
        <w:pStyle w:val="FootnoteText"/>
        <w:rPr>
          <w:sz w:val="10"/>
          <w:szCs w:val="10"/>
        </w:rPr>
      </w:pPr>
    </w:p>
  </w:footnote>
  <w:footnote w:id="4">
    <w:p w14:paraId="799373EB" w14:textId="77777777" w:rsidR="005933F3" w:rsidRDefault="005933F3">
      <w:pPr>
        <w:pStyle w:val="FootnoteText"/>
      </w:pPr>
      <w:r w:rsidRPr="005933F3">
        <w:rPr>
          <w:rStyle w:val="FootnoteReference"/>
          <w:b/>
          <w:sz w:val="22"/>
          <w:szCs w:val="22"/>
        </w:rPr>
        <w:footnoteRef/>
      </w:r>
      <w:r>
        <w:t xml:space="preserve"> </w:t>
      </w:r>
      <w:r w:rsidRPr="005933F3">
        <w:rPr>
          <w:b/>
        </w:rPr>
        <w:t>On-Time Performance</w:t>
      </w:r>
      <w:r>
        <w:t>: A measure of runs completed as scheduled.</w:t>
      </w:r>
    </w:p>
    <w:p w14:paraId="28D307DE" w14:textId="77777777" w:rsidR="005933F3" w:rsidRPr="005933F3" w:rsidRDefault="005933F3">
      <w:pPr>
        <w:pStyle w:val="FootnoteText"/>
        <w:rPr>
          <w:sz w:val="10"/>
          <w:szCs w:val="10"/>
        </w:rPr>
      </w:pPr>
    </w:p>
  </w:footnote>
  <w:footnote w:id="5">
    <w:p w14:paraId="42E18F1D" w14:textId="77777777" w:rsidR="005933F3" w:rsidRDefault="005933F3">
      <w:pPr>
        <w:pStyle w:val="FootnoteText"/>
      </w:pPr>
      <w:r w:rsidRPr="005933F3">
        <w:rPr>
          <w:rStyle w:val="FootnoteReference"/>
          <w:b/>
          <w:sz w:val="22"/>
          <w:szCs w:val="22"/>
        </w:rPr>
        <w:footnoteRef/>
      </w:r>
      <w:r w:rsidRPr="005933F3">
        <w:rPr>
          <w:b/>
          <w:sz w:val="22"/>
          <w:szCs w:val="22"/>
        </w:rPr>
        <w:t xml:space="preserve"> </w:t>
      </w:r>
      <w:r w:rsidRPr="005933F3">
        <w:rPr>
          <w:b/>
        </w:rPr>
        <w:t>Service Availability</w:t>
      </w:r>
      <w:r>
        <w:t xml:space="preserve">: A general measure of the distribution of routes within an agency’s service area.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5932">
    <w:abstractNumId w:val="24"/>
  </w:num>
  <w:num w:numId="2" w16cid:durableId="1858539621">
    <w:abstractNumId w:val="7"/>
  </w:num>
  <w:num w:numId="3" w16cid:durableId="2093160465">
    <w:abstractNumId w:val="9"/>
  </w:num>
  <w:num w:numId="4" w16cid:durableId="1463310057">
    <w:abstractNumId w:val="25"/>
  </w:num>
  <w:num w:numId="5" w16cid:durableId="2037466748">
    <w:abstractNumId w:val="14"/>
  </w:num>
  <w:num w:numId="6" w16cid:durableId="380062362">
    <w:abstractNumId w:val="10"/>
  </w:num>
  <w:num w:numId="7" w16cid:durableId="743144991">
    <w:abstractNumId w:val="6"/>
  </w:num>
  <w:num w:numId="8" w16cid:durableId="798498735">
    <w:abstractNumId w:val="5"/>
  </w:num>
  <w:num w:numId="9" w16cid:durableId="850531058">
    <w:abstractNumId w:val="12"/>
  </w:num>
  <w:num w:numId="10" w16cid:durableId="100077040">
    <w:abstractNumId w:val="26"/>
  </w:num>
  <w:num w:numId="11" w16cid:durableId="461970958">
    <w:abstractNumId w:val="18"/>
  </w:num>
  <w:num w:numId="12" w16cid:durableId="304892500">
    <w:abstractNumId w:val="11"/>
  </w:num>
  <w:num w:numId="13" w16cid:durableId="383604795">
    <w:abstractNumId w:val="0"/>
  </w:num>
  <w:num w:numId="14" w16cid:durableId="1896231317">
    <w:abstractNumId w:val="23"/>
  </w:num>
  <w:num w:numId="15" w16cid:durableId="780882741">
    <w:abstractNumId w:val="4"/>
  </w:num>
  <w:num w:numId="16" w16cid:durableId="1156603300">
    <w:abstractNumId w:val="17"/>
  </w:num>
  <w:num w:numId="17" w16cid:durableId="1624310412">
    <w:abstractNumId w:val="21"/>
  </w:num>
  <w:num w:numId="18" w16cid:durableId="901259351">
    <w:abstractNumId w:val="13"/>
  </w:num>
  <w:num w:numId="19" w16cid:durableId="1699550707">
    <w:abstractNumId w:val="8"/>
  </w:num>
  <w:num w:numId="20" w16cid:durableId="903375934">
    <w:abstractNumId w:val="27"/>
  </w:num>
  <w:num w:numId="21" w16cid:durableId="1137652166">
    <w:abstractNumId w:val="2"/>
  </w:num>
  <w:num w:numId="22" w16cid:durableId="94062159">
    <w:abstractNumId w:val="1"/>
  </w:num>
  <w:num w:numId="23" w16cid:durableId="1002859596">
    <w:abstractNumId w:val="15"/>
  </w:num>
  <w:num w:numId="24" w16cid:durableId="2034106685">
    <w:abstractNumId w:val="3"/>
  </w:num>
  <w:num w:numId="25" w16cid:durableId="993989861">
    <w:abstractNumId w:val="19"/>
  </w:num>
  <w:num w:numId="26" w16cid:durableId="1533570856">
    <w:abstractNumId w:val="22"/>
  </w:num>
  <w:num w:numId="27" w16cid:durableId="120466340">
    <w:abstractNumId w:val="16"/>
  </w:num>
  <w:num w:numId="28" w16cid:durableId="6012316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34D8B"/>
    <w:rsid w:val="00044794"/>
    <w:rsid w:val="000461E7"/>
    <w:rsid w:val="00046E32"/>
    <w:rsid w:val="00074618"/>
    <w:rsid w:val="00076661"/>
    <w:rsid w:val="000771DB"/>
    <w:rsid w:val="00080B1E"/>
    <w:rsid w:val="00086B0A"/>
    <w:rsid w:val="0008772D"/>
    <w:rsid w:val="000A1214"/>
    <w:rsid w:val="000C45D2"/>
    <w:rsid w:val="000D33D5"/>
    <w:rsid w:val="000F4E8D"/>
    <w:rsid w:val="0010721E"/>
    <w:rsid w:val="001128E2"/>
    <w:rsid w:val="00126BBC"/>
    <w:rsid w:val="00146128"/>
    <w:rsid w:val="001B4731"/>
    <w:rsid w:val="001B7032"/>
    <w:rsid w:val="001D31B8"/>
    <w:rsid w:val="001D3904"/>
    <w:rsid w:val="001E0D68"/>
    <w:rsid w:val="001E1B9C"/>
    <w:rsid w:val="001F07BE"/>
    <w:rsid w:val="001F2023"/>
    <w:rsid w:val="001F4F0F"/>
    <w:rsid w:val="001F70F9"/>
    <w:rsid w:val="00205A16"/>
    <w:rsid w:val="002102B2"/>
    <w:rsid w:val="002104B3"/>
    <w:rsid w:val="00222A6C"/>
    <w:rsid w:val="00223B81"/>
    <w:rsid w:val="00231542"/>
    <w:rsid w:val="00236D66"/>
    <w:rsid w:val="002553EB"/>
    <w:rsid w:val="002567B6"/>
    <w:rsid w:val="002625A8"/>
    <w:rsid w:val="00287482"/>
    <w:rsid w:val="00291479"/>
    <w:rsid w:val="002A0F14"/>
    <w:rsid w:val="002A3CCE"/>
    <w:rsid w:val="002C6CA5"/>
    <w:rsid w:val="002D50EC"/>
    <w:rsid w:val="002E2BE1"/>
    <w:rsid w:val="002F6AB3"/>
    <w:rsid w:val="002F6BC6"/>
    <w:rsid w:val="002F76D3"/>
    <w:rsid w:val="0030622D"/>
    <w:rsid w:val="0032244E"/>
    <w:rsid w:val="00330988"/>
    <w:rsid w:val="00331F5B"/>
    <w:rsid w:val="00335A70"/>
    <w:rsid w:val="00347C8F"/>
    <w:rsid w:val="00362D88"/>
    <w:rsid w:val="00372F55"/>
    <w:rsid w:val="00375F11"/>
    <w:rsid w:val="00387B38"/>
    <w:rsid w:val="003B6F4A"/>
    <w:rsid w:val="003C1B4E"/>
    <w:rsid w:val="003D5236"/>
    <w:rsid w:val="003D5807"/>
    <w:rsid w:val="003D6689"/>
    <w:rsid w:val="0040095F"/>
    <w:rsid w:val="0044072A"/>
    <w:rsid w:val="00447FDF"/>
    <w:rsid w:val="00450FD8"/>
    <w:rsid w:val="00454021"/>
    <w:rsid w:val="004542D7"/>
    <w:rsid w:val="0045460A"/>
    <w:rsid w:val="004745E5"/>
    <w:rsid w:val="00477767"/>
    <w:rsid w:val="00485371"/>
    <w:rsid w:val="00486BD2"/>
    <w:rsid w:val="00495572"/>
    <w:rsid w:val="004A2B19"/>
    <w:rsid w:val="004B1E5E"/>
    <w:rsid w:val="004C19A5"/>
    <w:rsid w:val="004C20B6"/>
    <w:rsid w:val="004C230A"/>
    <w:rsid w:val="004D7C31"/>
    <w:rsid w:val="004E1517"/>
    <w:rsid w:val="004E15D2"/>
    <w:rsid w:val="004F69EA"/>
    <w:rsid w:val="00503819"/>
    <w:rsid w:val="00505EED"/>
    <w:rsid w:val="00514041"/>
    <w:rsid w:val="005372DC"/>
    <w:rsid w:val="00560FB2"/>
    <w:rsid w:val="005820A4"/>
    <w:rsid w:val="00582B17"/>
    <w:rsid w:val="005863E4"/>
    <w:rsid w:val="00591F6D"/>
    <w:rsid w:val="005933F3"/>
    <w:rsid w:val="005950F1"/>
    <w:rsid w:val="005A2E68"/>
    <w:rsid w:val="005B10EA"/>
    <w:rsid w:val="005C31C3"/>
    <w:rsid w:val="005D45E1"/>
    <w:rsid w:val="005F0242"/>
    <w:rsid w:val="0060051E"/>
    <w:rsid w:val="00605640"/>
    <w:rsid w:val="00622723"/>
    <w:rsid w:val="00630599"/>
    <w:rsid w:val="006437A7"/>
    <w:rsid w:val="00643EA8"/>
    <w:rsid w:val="0064561D"/>
    <w:rsid w:val="0068015E"/>
    <w:rsid w:val="00680BE6"/>
    <w:rsid w:val="0068505B"/>
    <w:rsid w:val="00693E8B"/>
    <w:rsid w:val="00695E57"/>
    <w:rsid w:val="006A3CDE"/>
    <w:rsid w:val="006A44EF"/>
    <w:rsid w:val="006B13F0"/>
    <w:rsid w:val="006B1A95"/>
    <w:rsid w:val="006D1190"/>
    <w:rsid w:val="006D415B"/>
    <w:rsid w:val="006F5EA5"/>
    <w:rsid w:val="007003E4"/>
    <w:rsid w:val="00723878"/>
    <w:rsid w:val="00751E7D"/>
    <w:rsid w:val="0075234E"/>
    <w:rsid w:val="00756C18"/>
    <w:rsid w:val="00760B50"/>
    <w:rsid w:val="007723E6"/>
    <w:rsid w:val="007915DC"/>
    <w:rsid w:val="007A101F"/>
    <w:rsid w:val="007A39F4"/>
    <w:rsid w:val="007C6A84"/>
    <w:rsid w:val="007D1EE1"/>
    <w:rsid w:val="007D6DB4"/>
    <w:rsid w:val="007F48D2"/>
    <w:rsid w:val="0081390A"/>
    <w:rsid w:val="008175E6"/>
    <w:rsid w:val="00834208"/>
    <w:rsid w:val="00843E25"/>
    <w:rsid w:val="008657B5"/>
    <w:rsid w:val="008807E7"/>
    <w:rsid w:val="00885F7B"/>
    <w:rsid w:val="00886A61"/>
    <w:rsid w:val="008978D0"/>
    <w:rsid w:val="00897D0E"/>
    <w:rsid w:val="008C28E2"/>
    <w:rsid w:val="008D0137"/>
    <w:rsid w:val="008E1C11"/>
    <w:rsid w:val="00914AB6"/>
    <w:rsid w:val="009240A3"/>
    <w:rsid w:val="009308F2"/>
    <w:rsid w:val="009359D4"/>
    <w:rsid w:val="00945AE2"/>
    <w:rsid w:val="00961F11"/>
    <w:rsid w:val="00974DF5"/>
    <w:rsid w:val="009907DC"/>
    <w:rsid w:val="009A16DF"/>
    <w:rsid w:val="009B1B96"/>
    <w:rsid w:val="00A06699"/>
    <w:rsid w:val="00A07E0C"/>
    <w:rsid w:val="00A111F8"/>
    <w:rsid w:val="00A16006"/>
    <w:rsid w:val="00A23C3A"/>
    <w:rsid w:val="00A620E8"/>
    <w:rsid w:val="00A6216E"/>
    <w:rsid w:val="00A75D5A"/>
    <w:rsid w:val="00A82F78"/>
    <w:rsid w:val="00A90438"/>
    <w:rsid w:val="00A9610B"/>
    <w:rsid w:val="00AA5CCB"/>
    <w:rsid w:val="00AA7CE4"/>
    <w:rsid w:val="00AC4106"/>
    <w:rsid w:val="00AC48D5"/>
    <w:rsid w:val="00AD4B43"/>
    <w:rsid w:val="00AF5AC3"/>
    <w:rsid w:val="00B23BFA"/>
    <w:rsid w:val="00B2413D"/>
    <w:rsid w:val="00B31A87"/>
    <w:rsid w:val="00B32544"/>
    <w:rsid w:val="00B427C2"/>
    <w:rsid w:val="00B812FD"/>
    <w:rsid w:val="00B82834"/>
    <w:rsid w:val="00B9009A"/>
    <w:rsid w:val="00B93E79"/>
    <w:rsid w:val="00BA2B5D"/>
    <w:rsid w:val="00BA5BC0"/>
    <w:rsid w:val="00BA7D63"/>
    <w:rsid w:val="00BB5A3B"/>
    <w:rsid w:val="00BB5D3D"/>
    <w:rsid w:val="00BB6B41"/>
    <w:rsid w:val="00BE64A4"/>
    <w:rsid w:val="00BF664C"/>
    <w:rsid w:val="00BF6884"/>
    <w:rsid w:val="00BF7A00"/>
    <w:rsid w:val="00C029DC"/>
    <w:rsid w:val="00C05C14"/>
    <w:rsid w:val="00C17346"/>
    <w:rsid w:val="00C35538"/>
    <w:rsid w:val="00C67C66"/>
    <w:rsid w:val="00C72F5A"/>
    <w:rsid w:val="00C7645B"/>
    <w:rsid w:val="00CA1860"/>
    <w:rsid w:val="00CB14DA"/>
    <w:rsid w:val="00CE779D"/>
    <w:rsid w:val="00CE7952"/>
    <w:rsid w:val="00CF5188"/>
    <w:rsid w:val="00D0174F"/>
    <w:rsid w:val="00D2325B"/>
    <w:rsid w:val="00D31460"/>
    <w:rsid w:val="00D365A6"/>
    <w:rsid w:val="00D47796"/>
    <w:rsid w:val="00D557CD"/>
    <w:rsid w:val="00D708BB"/>
    <w:rsid w:val="00D75E72"/>
    <w:rsid w:val="00DD0F8D"/>
    <w:rsid w:val="00DD7F1F"/>
    <w:rsid w:val="00DE1688"/>
    <w:rsid w:val="00DE3716"/>
    <w:rsid w:val="00DE402F"/>
    <w:rsid w:val="00E35122"/>
    <w:rsid w:val="00E66C7A"/>
    <w:rsid w:val="00E87960"/>
    <w:rsid w:val="00EC0AA0"/>
    <w:rsid w:val="00EF7226"/>
    <w:rsid w:val="00F0395D"/>
    <w:rsid w:val="00F10F22"/>
    <w:rsid w:val="00F23EAC"/>
    <w:rsid w:val="00F24B41"/>
    <w:rsid w:val="00F24E77"/>
    <w:rsid w:val="00F33672"/>
    <w:rsid w:val="00F55696"/>
    <w:rsid w:val="00F64CDB"/>
    <w:rsid w:val="00F71F0E"/>
    <w:rsid w:val="00F740E6"/>
    <w:rsid w:val="00F82272"/>
    <w:rsid w:val="00F90A82"/>
    <w:rsid w:val="00F93AB8"/>
    <w:rsid w:val="00F95846"/>
    <w:rsid w:val="00F96161"/>
    <w:rsid w:val="00FA4F25"/>
    <w:rsid w:val="00FC681B"/>
    <w:rsid w:val="00FD3AE3"/>
    <w:rsid w:val="00FD74D8"/>
    <w:rsid w:val="00FE091D"/>
    <w:rsid w:val="00FE1E3A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7617EBAA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semiHidden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it.dot.gov/sites/fta.dot.gov/files/docs/FTA_Title_VI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0AA779-C5A3-4291-9E8F-5EAF4C74F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C1532-8D4B-452C-9ECF-4309F0AF544E}"/>
</file>

<file path=customXml/itemProps3.xml><?xml version="1.0" encoding="utf-8"?>
<ds:datastoreItem xmlns:ds="http://schemas.openxmlformats.org/officeDocument/2006/customXml" ds:itemID="{CFF04A0F-91FA-460C-A02F-C6BF564A0A60}"/>
</file>

<file path=customXml/itemProps4.xml><?xml version="1.0" encoding="utf-8"?>
<ds:datastoreItem xmlns:ds="http://schemas.openxmlformats.org/officeDocument/2006/customXml" ds:itemID="{B986AC47-7176-4D06-A7EA-B7B69C6C3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VI/ADA/Nondiscrimination Plan Template Appendix</dc:title>
  <dc:subject>Title VI Template</dc:subject>
  <dc:creator>WisDOT</dc:creator>
  <cp:lastModifiedBy>Dan</cp:lastModifiedBy>
  <cp:revision>2</cp:revision>
  <cp:lastPrinted>2020-02-07T17:09:00Z</cp:lastPrinted>
  <dcterms:created xsi:type="dcterms:W3CDTF">2024-02-20T14:21:00Z</dcterms:created>
  <dcterms:modified xsi:type="dcterms:W3CDTF">2024-02-20T14:21:00Z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