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FAE2" w14:textId="0F8E122F" w:rsidR="00442C10" w:rsidRDefault="00442C10" w:rsidP="00B656B5">
      <w:pPr>
        <w:widowControl w:val="0"/>
        <w:spacing w:before="120" w:after="120" w:line="240" w:lineRule="auto"/>
        <w:ind w:left="-432" w:right="-432"/>
        <w:rPr>
          <w:rFonts w:ascii="Arial" w:eastAsia="Times New Roman" w:hAnsi="Arial" w:cs="Times New Roman"/>
          <w:b/>
          <w:i/>
          <w:color w:val="CC0000"/>
          <w:sz w:val="18"/>
          <w:szCs w:val="20"/>
        </w:rPr>
      </w:pPr>
      <w:r w:rsidRPr="00144675">
        <w:rPr>
          <w:rFonts w:ascii="Arial" w:eastAsia="Times New Roman" w:hAnsi="Arial" w:cs="Times New Roman"/>
          <w:b/>
          <w:i/>
          <w:color w:val="CC0000"/>
          <w:sz w:val="18"/>
          <w:szCs w:val="20"/>
          <w:highlight w:val="yellow"/>
        </w:rPr>
        <w:t>DELETE ALL DESIGNER NOTES FROM YOUR SPECIAL PROVISIONS</w:t>
      </w:r>
    </w:p>
    <w:p w14:paraId="5DAC953D" w14:textId="41857D05" w:rsidR="00B656B5" w:rsidRPr="00B656B5" w:rsidRDefault="00B656B5" w:rsidP="00B656B5">
      <w:pPr>
        <w:widowControl w:val="0"/>
        <w:spacing w:before="120" w:after="120" w:line="240" w:lineRule="auto"/>
        <w:ind w:left="-432" w:right="-432"/>
        <w:rPr>
          <w:rFonts w:ascii="Arial" w:eastAsia="Times New Roman" w:hAnsi="Arial" w:cs="Times New Roman"/>
          <w:b/>
          <w:i/>
          <w:color w:val="CC0000"/>
          <w:sz w:val="18"/>
          <w:szCs w:val="20"/>
        </w:rPr>
      </w:pPr>
      <w:r w:rsidRPr="00B656B5">
        <w:rPr>
          <w:rFonts w:ascii="Arial" w:eastAsia="Times New Roman" w:hAnsi="Arial" w:cs="Times New Roman"/>
          <w:b/>
          <w:i/>
          <w:color w:val="CC0000"/>
          <w:sz w:val="18"/>
          <w:szCs w:val="20"/>
        </w:rPr>
        <w:t xml:space="preserve">Use this SPV for HMA PWL QMP core </w:t>
      </w:r>
      <w:r w:rsidR="00EC670A">
        <w:rPr>
          <w:rFonts w:ascii="Arial" w:eastAsia="Times New Roman" w:hAnsi="Arial" w:cs="Times New Roman"/>
          <w:b/>
          <w:i/>
          <w:color w:val="CC0000"/>
          <w:sz w:val="18"/>
          <w:szCs w:val="20"/>
        </w:rPr>
        <w:t>only</w:t>
      </w:r>
      <w:r w:rsidR="00EC670A" w:rsidRPr="00B656B5">
        <w:rPr>
          <w:rFonts w:ascii="Arial" w:eastAsia="Times New Roman" w:hAnsi="Arial" w:cs="Times New Roman"/>
          <w:b/>
          <w:i/>
          <w:color w:val="CC0000"/>
          <w:sz w:val="18"/>
          <w:szCs w:val="20"/>
        </w:rPr>
        <w:t xml:space="preserve"> </w:t>
      </w:r>
      <w:r w:rsidRPr="00B656B5">
        <w:rPr>
          <w:rFonts w:ascii="Arial" w:eastAsia="Times New Roman" w:hAnsi="Arial" w:cs="Times New Roman"/>
          <w:b/>
          <w:i/>
          <w:color w:val="CC0000"/>
          <w:sz w:val="18"/>
          <w:szCs w:val="20"/>
        </w:rPr>
        <w:t>projects. Include the following companion specifications with this SPV:</w:t>
      </w:r>
    </w:p>
    <w:p w14:paraId="036CB8AE" w14:textId="1F276276" w:rsidR="00B656B5" w:rsidRPr="009B5254" w:rsidRDefault="00B656B5" w:rsidP="0044711F">
      <w:pPr>
        <w:pStyle w:val="ListParagraph"/>
        <w:rPr>
          <w:rFonts w:ascii="Arial" w:eastAsia="Times New Roman" w:hAnsi="Arial" w:cs="Times New Roman"/>
          <w:b/>
          <w:i/>
          <w:color w:val="CC0000"/>
          <w:sz w:val="18"/>
          <w:szCs w:val="20"/>
        </w:rPr>
      </w:pPr>
      <w:r w:rsidRPr="009B5254">
        <w:rPr>
          <w:rFonts w:ascii="Arial" w:eastAsia="Times New Roman" w:hAnsi="Arial" w:cs="Times New Roman"/>
          <w:b/>
          <w:i/>
          <w:color w:val="CC0000"/>
          <w:sz w:val="18"/>
          <w:szCs w:val="20"/>
        </w:rPr>
        <w:t>STP-460-040 HMA Percent Within Limits (PWL) Test Strip</w:t>
      </w:r>
    </w:p>
    <w:p w14:paraId="44F91E36" w14:textId="3919EDAD" w:rsidR="00B656B5" w:rsidRPr="009B5254" w:rsidRDefault="00B656B5" w:rsidP="0044711F">
      <w:pPr>
        <w:pStyle w:val="ListParagraph"/>
        <w:rPr>
          <w:rFonts w:ascii="Arial" w:eastAsia="Times New Roman" w:hAnsi="Arial" w:cs="Times New Roman"/>
          <w:b/>
          <w:i/>
          <w:color w:val="CC0000"/>
          <w:sz w:val="18"/>
          <w:szCs w:val="20"/>
        </w:rPr>
      </w:pPr>
      <w:r w:rsidRPr="009B5254">
        <w:rPr>
          <w:rFonts w:ascii="Arial" w:eastAsia="Times New Roman" w:hAnsi="Arial" w:cs="Times New Roman"/>
          <w:b/>
          <w:i/>
          <w:color w:val="CC0000"/>
          <w:sz w:val="18"/>
          <w:szCs w:val="20"/>
        </w:rPr>
        <w:t xml:space="preserve">HMA Pavement Percent Within Limits (PWL) QMP, Core </w:t>
      </w:r>
      <w:r w:rsidR="00EC670A" w:rsidRPr="009B5254">
        <w:rPr>
          <w:rFonts w:ascii="Arial" w:eastAsia="Times New Roman" w:hAnsi="Arial" w:cs="Times New Roman"/>
          <w:b/>
          <w:i/>
          <w:color w:val="CC0000"/>
          <w:sz w:val="18"/>
          <w:szCs w:val="20"/>
        </w:rPr>
        <w:t xml:space="preserve">Only </w:t>
      </w:r>
      <w:r w:rsidRPr="009B5254">
        <w:rPr>
          <w:rFonts w:ascii="Arial" w:eastAsia="Times New Roman" w:hAnsi="Arial" w:cs="Times New Roman"/>
          <w:b/>
          <w:i/>
          <w:color w:val="CC0000"/>
          <w:sz w:val="18"/>
          <w:szCs w:val="20"/>
        </w:rPr>
        <w:t>Project (460-050 core only)</w:t>
      </w:r>
    </w:p>
    <w:p w14:paraId="4AAD2DC7" w14:textId="32BFDCEA" w:rsidR="00B656B5" w:rsidRPr="009B5254" w:rsidRDefault="00B656B5" w:rsidP="0044711F">
      <w:pPr>
        <w:pStyle w:val="ListParagraph"/>
        <w:rPr>
          <w:rFonts w:ascii="Arial" w:eastAsia="Times New Roman" w:hAnsi="Arial" w:cs="Times New Roman"/>
          <w:b/>
          <w:i/>
          <w:color w:val="CC0000"/>
          <w:sz w:val="18"/>
          <w:szCs w:val="20"/>
        </w:rPr>
      </w:pPr>
      <w:r w:rsidRPr="009B5254">
        <w:rPr>
          <w:rFonts w:ascii="Arial" w:eastAsia="Times New Roman" w:hAnsi="Arial" w:cs="Times New Roman"/>
          <w:b/>
          <w:i/>
          <w:color w:val="CC0000"/>
          <w:sz w:val="18"/>
          <w:szCs w:val="20"/>
        </w:rPr>
        <w:t xml:space="preserve">Appendix A, Core </w:t>
      </w:r>
      <w:r w:rsidR="00EC670A" w:rsidRPr="009B5254">
        <w:rPr>
          <w:rFonts w:ascii="Arial" w:eastAsia="Times New Roman" w:hAnsi="Arial" w:cs="Times New Roman"/>
          <w:b/>
          <w:i/>
          <w:color w:val="CC0000"/>
          <w:sz w:val="18"/>
          <w:szCs w:val="20"/>
        </w:rPr>
        <w:t xml:space="preserve">Only </w:t>
      </w:r>
      <w:r w:rsidRPr="009B5254">
        <w:rPr>
          <w:rFonts w:ascii="Arial" w:eastAsia="Times New Roman" w:hAnsi="Arial" w:cs="Times New Roman"/>
          <w:b/>
          <w:i/>
          <w:color w:val="CC0000"/>
          <w:sz w:val="18"/>
          <w:szCs w:val="20"/>
        </w:rPr>
        <w:t>Project (460-055 core only)</w:t>
      </w:r>
    </w:p>
    <w:p w14:paraId="325F646A" w14:textId="3A947B5F" w:rsidR="006260B3" w:rsidRPr="0071613F" w:rsidRDefault="002E64E6" w:rsidP="00B656B5">
      <w:pPr>
        <w:widowControl w:val="0"/>
        <w:spacing w:before="120" w:after="120" w:line="240" w:lineRule="auto"/>
        <w:ind w:left="-432" w:right="-432"/>
        <w:rPr>
          <w:rFonts w:ascii="Arial" w:eastAsia="Times New Roman" w:hAnsi="Arial" w:cs="Times New Roman"/>
          <w:b/>
          <w:i/>
          <w:color w:val="CC0000"/>
          <w:sz w:val="18"/>
          <w:szCs w:val="20"/>
        </w:rPr>
      </w:pPr>
      <w:r>
        <w:rPr>
          <w:rFonts w:ascii="Arial" w:eastAsia="Times New Roman" w:hAnsi="Arial" w:cs="Times New Roman"/>
          <w:b/>
          <w:i/>
          <w:color w:val="CC0000"/>
          <w:sz w:val="18"/>
          <w:szCs w:val="20"/>
        </w:rPr>
        <w:t>D</w:t>
      </w:r>
      <w:r w:rsidR="0071613F">
        <w:rPr>
          <w:rFonts w:ascii="Arial" w:eastAsia="Times New Roman" w:hAnsi="Arial" w:cs="Times New Roman"/>
          <w:b/>
          <w:i/>
          <w:color w:val="CC0000"/>
          <w:sz w:val="18"/>
          <w:szCs w:val="20"/>
        </w:rPr>
        <w:t>esigners should not specify joint heaters, echelon paving, wedge joint removal, or other specified joint treatments</w:t>
      </w:r>
      <w:r w:rsidR="008130AC">
        <w:rPr>
          <w:rFonts w:ascii="Arial" w:eastAsia="Times New Roman" w:hAnsi="Arial" w:cs="Times New Roman"/>
          <w:b/>
          <w:i/>
          <w:color w:val="CC0000"/>
          <w:sz w:val="18"/>
          <w:szCs w:val="20"/>
        </w:rPr>
        <w:t xml:space="preserve"> when including this SPV</w:t>
      </w:r>
      <w:r w:rsidR="0071613F">
        <w:rPr>
          <w:rFonts w:ascii="Arial" w:eastAsia="Times New Roman" w:hAnsi="Arial" w:cs="Times New Roman"/>
          <w:b/>
          <w:i/>
          <w:color w:val="CC0000"/>
          <w:sz w:val="18"/>
          <w:szCs w:val="20"/>
        </w:rPr>
        <w:t>.</w:t>
      </w:r>
    </w:p>
    <w:p w14:paraId="09893ABB" w14:textId="3AC2D01C" w:rsidR="00162E00" w:rsidRPr="0071613F" w:rsidRDefault="006260B3" w:rsidP="0071613F">
      <w:pPr>
        <w:widowControl w:val="0"/>
        <w:spacing w:before="120" w:after="120" w:line="240" w:lineRule="auto"/>
        <w:ind w:left="-432" w:right="-432"/>
        <w:rPr>
          <w:rFonts w:ascii="Arial" w:eastAsia="Times New Roman" w:hAnsi="Arial" w:cs="Times New Roman"/>
          <w:b/>
          <w:i/>
          <w:color w:val="CC0000"/>
          <w:sz w:val="18"/>
          <w:szCs w:val="20"/>
        </w:rPr>
      </w:pPr>
      <w:r w:rsidRPr="0071613F">
        <w:rPr>
          <w:rFonts w:ascii="Arial" w:eastAsia="Times New Roman" w:hAnsi="Arial" w:cs="Times New Roman"/>
          <w:b/>
          <w:i/>
          <w:color w:val="CC0000"/>
          <w:sz w:val="18"/>
          <w:szCs w:val="20"/>
        </w:rPr>
        <w:t>W</w:t>
      </w:r>
      <w:r w:rsidR="0071613F">
        <w:rPr>
          <w:rFonts w:ascii="Arial" w:eastAsia="Times New Roman" w:hAnsi="Arial" w:cs="Times New Roman"/>
          <w:b/>
          <w:i/>
          <w:color w:val="CC0000"/>
          <w:sz w:val="18"/>
          <w:szCs w:val="20"/>
        </w:rPr>
        <w:t xml:space="preserve">hen estimating the quantity </w:t>
      </w:r>
      <w:r w:rsidRPr="0071613F">
        <w:rPr>
          <w:rFonts w:ascii="Arial" w:eastAsia="Times New Roman" w:hAnsi="Arial" w:cs="Times New Roman"/>
          <w:b/>
          <w:i/>
          <w:color w:val="CC0000"/>
          <w:sz w:val="18"/>
          <w:szCs w:val="20"/>
        </w:rPr>
        <w:t>I</w:t>
      </w:r>
      <w:r w:rsidR="0071613F">
        <w:rPr>
          <w:rFonts w:ascii="Arial" w:eastAsia="Times New Roman" w:hAnsi="Arial" w:cs="Times New Roman"/>
          <w:b/>
          <w:i/>
          <w:color w:val="CC0000"/>
          <w:sz w:val="18"/>
          <w:szCs w:val="20"/>
        </w:rPr>
        <w:t xml:space="preserve">ncentive Density HMA Pavement Longitudinal Joints, multiply the length of the applicable joints – as defined in Section 1A herein – by 2 (for both sides of the joint) and then multiply by </w:t>
      </w:r>
      <w:r w:rsidRPr="0071613F">
        <w:rPr>
          <w:rFonts w:ascii="Arial" w:eastAsia="Times New Roman" w:hAnsi="Arial" w:cs="Times New Roman"/>
          <w:b/>
          <w:i/>
          <w:color w:val="CC0000"/>
          <w:sz w:val="18"/>
          <w:szCs w:val="20"/>
        </w:rPr>
        <w:t>$0.</w:t>
      </w:r>
      <w:r w:rsidR="00A51803">
        <w:rPr>
          <w:rFonts w:ascii="Arial" w:eastAsia="Times New Roman" w:hAnsi="Arial" w:cs="Times New Roman"/>
          <w:b/>
          <w:i/>
          <w:color w:val="CC0000"/>
          <w:sz w:val="18"/>
          <w:szCs w:val="20"/>
        </w:rPr>
        <w:t>1</w:t>
      </w:r>
      <w:r w:rsidRPr="0071613F">
        <w:rPr>
          <w:rFonts w:ascii="Arial" w:eastAsia="Times New Roman" w:hAnsi="Arial" w:cs="Times New Roman"/>
          <w:b/>
          <w:i/>
          <w:color w:val="CC0000"/>
          <w:sz w:val="18"/>
          <w:szCs w:val="20"/>
        </w:rPr>
        <w:t>0 (</w:t>
      </w:r>
      <w:r w:rsidR="002E64E6">
        <w:rPr>
          <w:rFonts w:ascii="Arial" w:eastAsia="Times New Roman" w:hAnsi="Arial" w:cs="Times New Roman"/>
          <w:b/>
          <w:i/>
          <w:color w:val="CC0000"/>
          <w:sz w:val="18"/>
          <w:szCs w:val="20"/>
        </w:rPr>
        <w:t>a</w:t>
      </w:r>
      <w:r w:rsidR="0071613F">
        <w:rPr>
          <w:rFonts w:ascii="Arial" w:eastAsia="Times New Roman" w:hAnsi="Arial" w:cs="Times New Roman"/>
          <w:b/>
          <w:i/>
          <w:color w:val="CC0000"/>
          <w:sz w:val="18"/>
          <w:szCs w:val="20"/>
        </w:rPr>
        <w:t xml:space="preserve">verage incentive is anticipated to be about half of the </w:t>
      </w:r>
      <w:r w:rsidRPr="0071613F">
        <w:rPr>
          <w:rFonts w:ascii="Arial" w:eastAsia="Times New Roman" w:hAnsi="Arial" w:cs="Times New Roman"/>
          <w:b/>
          <w:i/>
          <w:color w:val="CC0000"/>
          <w:sz w:val="18"/>
          <w:szCs w:val="20"/>
        </w:rPr>
        <w:t>$0.</w:t>
      </w:r>
      <w:r w:rsidR="00A51803">
        <w:rPr>
          <w:rFonts w:ascii="Arial" w:eastAsia="Times New Roman" w:hAnsi="Arial" w:cs="Times New Roman"/>
          <w:b/>
          <w:i/>
          <w:color w:val="CC0000"/>
          <w:sz w:val="18"/>
          <w:szCs w:val="20"/>
        </w:rPr>
        <w:t>2</w:t>
      </w:r>
      <w:r w:rsidRPr="0071613F">
        <w:rPr>
          <w:rFonts w:ascii="Arial" w:eastAsia="Times New Roman" w:hAnsi="Arial" w:cs="Times New Roman"/>
          <w:b/>
          <w:i/>
          <w:color w:val="CC0000"/>
          <w:sz w:val="18"/>
          <w:szCs w:val="20"/>
        </w:rPr>
        <w:t xml:space="preserve">0 </w:t>
      </w:r>
      <w:r w:rsidR="0071613F">
        <w:rPr>
          <w:rFonts w:ascii="Arial" w:eastAsia="Times New Roman" w:hAnsi="Arial" w:cs="Times New Roman"/>
          <w:b/>
          <w:i/>
          <w:color w:val="CC0000"/>
          <w:sz w:val="18"/>
          <w:szCs w:val="20"/>
        </w:rPr>
        <w:t>maximum incentive</w:t>
      </w:r>
      <w:r w:rsidRPr="0071613F">
        <w:rPr>
          <w:rFonts w:ascii="Arial" w:eastAsia="Times New Roman" w:hAnsi="Arial" w:cs="Times New Roman"/>
          <w:b/>
          <w:i/>
          <w:color w:val="CC0000"/>
          <w:sz w:val="18"/>
          <w:szCs w:val="20"/>
        </w:rPr>
        <w:t>).</w:t>
      </w:r>
      <w:r w:rsidR="00941C5C" w:rsidRPr="0071613F">
        <w:rPr>
          <w:rFonts w:ascii="Arial" w:eastAsia="Times New Roman" w:hAnsi="Arial" w:cs="Times New Roman"/>
          <w:b/>
          <w:i/>
          <w:color w:val="CC0000"/>
          <w:sz w:val="18"/>
          <w:szCs w:val="20"/>
        </w:rPr>
        <w:t xml:space="preserve"> </w:t>
      </w:r>
      <w:bookmarkStart w:id="0" w:name="_Hlk62718231"/>
      <w:r w:rsidR="0076267A">
        <w:rPr>
          <w:rFonts w:ascii="Arial" w:eastAsia="Times New Roman" w:hAnsi="Arial" w:cs="Times New Roman"/>
          <w:b/>
          <w:i/>
          <w:color w:val="CC0000"/>
          <w:sz w:val="18"/>
          <w:szCs w:val="20"/>
        </w:rPr>
        <w:t>The unit price should be a fixed cost of $1.00 in AWP.</w:t>
      </w:r>
      <w:bookmarkEnd w:id="0"/>
    </w:p>
    <w:p w14:paraId="06D7A8E0" w14:textId="1ABA9CBC" w:rsidR="00541E74" w:rsidRPr="009B1765" w:rsidRDefault="00541E74" w:rsidP="009B1765">
      <w:pPr>
        <w:numPr>
          <w:ilvl w:val="0"/>
          <w:numId w:val="1"/>
        </w:numPr>
        <w:tabs>
          <w:tab w:val="center" w:pos="4680"/>
          <w:tab w:val="right" w:pos="9270"/>
        </w:tabs>
        <w:spacing w:before="240" w:after="120" w:line="240" w:lineRule="auto"/>
        <w:ind w:left="0" w:hanging="720"/>
        <w:outlineLvl w:val="0"/>
        <w:rPr>
          <w:rFonts w:ascii="Arial" w:hAnsi="Arial" w:cs="Arial"/>
          <w:b/>
        </w:rPr>
      </w:pPr>
      <w:bookmarkStart w:id="1" w:name="_Hlk62717113"/>
      <w:bookmarkStart w:id="2" w:name="_Hlk62717189"/>
      <w:r w:rsidRPr="0071613F">
        <w:rPr>
          <w:rFonts w:ascii="Arial" w:hAnsi="Arial" w:cs="Arial"/>
          <w:b/>
        </w:rPr>
        <w:t>HMA Pavement Longitudinal Joint Density</w:t>
      </w:r>
      <w:r w:rsidR="00B74A80">
        <w:rPr>
          <w:rFonts w:ascii="Arial" w:hAnsi="Arial" w:cs="Arial"/>
          <w:b/>
        </w:rPr>
        <w:t xml:space="preserve">, Core </w:t>
      </w:r>
      <w:r w:rsidR="00EC670A">
        <w:rPr>
          <w:rFonts w:ascii="Arial" w:hAnsi="Arial" w:cs="Arial"/>
          <w:b/>
        </w:rPr>
        <w:t xml:space="preserve">Only </w:t>
      </w:r>
      <w:r w:rsidR="009B1765">
        <w:rPr>
          <w:rFonts w:ascii="Arial" w:hAnsi="Arial" w:cs="Arial"/>
          <w:b/>
        </w:rPr>
        <w:t>Project;</w:t>
      </w:r>
      <w:r w:rsidR="009B1765">
        <w:rPr>
          <w:rFonts w:ascii="Arial" w:hAnsi="Arial" w:cs="Arial"/>
          <w:b/>
        </w:rPr>
        <w:br/>
      </w:r>
      <w:r w:rsidR="009B1765" w:rsidRPr="009B1765">
        <w:rPr>
          <w:rFonts w:ascii="Arial" w:hAnsi="Arial" w:cs="Arial"/>
          <w:b/>
        </w:rPr>
        <w:t>Incentive Density HMA Pavement Longitudinal Joints</w:t>
      </w:r>
      <w:r w:rsidR="009B1765">
        <w:rPr>
          <w:rFonts w:ascii="Arial" w:hAnsi="Arial" w:cs="Arial"/>
          <w:b/>
        </w:rPr>
        <w:t>, Item</w:t>
      </w:r>
      <w:r w:rsidR="009B1765" w:rsidRPr="009B1765">
        <w:rPr>
          <w:rFonts w:ascii="Arial" w:hAnsi="Arial" w:cs="Arial"/>
          <w:b/>
        </w:rPr>
        <w:t xml:space="preserve"> </w:t>
      </w:r>
      <w:r w:rsidR="009B1765" w:rsidRPr="00D3765B">
        <w:rPr>
          <w:rFonts w:ascii="Arial" w:hAnsi="Arial" w:cs="Arial"/>
          <w:b/>
          <w:highlight w:val="yellow"/>
        </w:rPr>
        <w:t>SPV.0055.XXX</w:t>
      </w:r>
      <w:r w:rsidR="009B1765">
        <w:rPr>
          <w:rFonts w:ascii="Arial" w:hAnsi="Arial" w:cs="Arial"/>
          <w:b/>
        </w:rPr>
        <w:t>.</w:t>
      </w:r>
    </w:p>
    <w:p w14:paraId="46FC1E0A" w14:textId="77777777" w:rsidR="00541E74" w:rsidRPr="00D05EE5" w:rsidRDefault="00541E74" w:rsidP="00B640A4">
      <w:pPr>
        <w:spacing w:before="120" w:after="120" w:line="240" w:lineRule="auto"/>
        <w:rPr>
          <w:rFonts w:ascii="Arial" w:hAnsi="Arial" w:cs="Arial"/>
          <w:b/>
          <w:sz w:val="20"/>
          <w:szCs w:val="20"/>
        </w:rPr>
      </w:pPr>
      <w:proofErr w:type="gramStart"/>
      <w:r w:rsidRPr="00D05EE5">
        <w:rPr>
          <w:rFonts w:ascii="Arial" w:hAnsi="Arial" w:cs="Arial"/>
          <w:b/>
          <w:sz w:val="20"/>
          <w:szCs w:val="20"/>
        </w:rPr>
        <w:t>A  Description</w:t>
      </w:r>
      <w:proofErr w:type="gramEnd"/>
    </w:p>
    <w:p w14:paraId="51194A69" w14:textId="1E79F471" w:rsidR="00541E74" w:rsidRPr="009B1765" w:rsidRDefault="00541E74" w:rsidP="00B640A4">
      <w:pPr>
        <w:spacing w:before="120" w:after="120"/>
        <w:rPr>
          <w:rFonts w:ascii="Arial" w:hAnsi="Arial" w:cs="Arial"/>
          <w:sz w:val="20"/>
          <w:szCs w:val="20"/>
        </w:rPr>
      </w:pPr>
      <w:r w:rsidRPr="00D05EE5">
        <w:rPr>
          <w:rFonts w:ascii="Arial" w:hAnsi="Arial" w:cs="Arial"/>
          <w:sz w:val="20"/>
          <w:szCs w:val="20"/>
        </w:rPr>
        <w:t xml:space="preserve">This special provision incorporates longitudinal joint density requirements into the contract and describes </w:t>
      </w:r>
      <w:bookmarkEnd w:id="1"/>
      <w:r w:rsidRPr="009B1765">
        <w:rPr>
          <w:rFonts w:ascii="Arial" w:hAnsi="Arial" w:cs="Arial"/>
          <w:sz w:val="20"/>
          <w:szCs w:val="20"/>
        </w:rPr>
        <w:t>the data collection, acceptance, and procedure used for determination of pay adjustments for HMA pavement longitudinal joint density. Pay adjustments will be made on a linear foot basis, as applicable per pavement layer</w:t>
      </w:r>
      <w:r w:rsidR="009E60BF" w:rsidRPr="009B1765">
        <w:rPr>
          <w:rFonts w:ascii="Arial" w:hAnsi="Arial" w:cs="Arial"/>
          <w:sz w:val="20"/>
          <w:szCs w:val="20"/>
        </w:rPr>
        <w:t xml:space="preserve"> and paving lane</w:t>
      </w:r>
      <w:r w:rsidRPr="009B1765">
        <w:rPr>
          <w:rFonts w:ascii="Arial" w:hAnsi="Arial" w:cs="Arial"/>
          <w:sz w:val="20"/>
          <w:szCs w:val="20"/>
        </w:rPr>
        <w:t>. Applicable longitudinal joints are defined as those between any two or more traffic lanes</w:t>
      </w:r>
      <w:r w:rsidR="005732E4" w:rsidRPr="009B1765">
        <w:rPr>
          <w:rFonts w:ascii="Arial" w:hAnsi="Arial" w:cs="Arial"/>
          <w:sz w:val="20"/>
          <w:szCs w:val="20"/>
        </w:rPr>
        <w:t xml:space="preserve"> including </w:t>
      </w:r>
      <w:proofErr w:type="gramStart"/>
      <w:r w:rsidR="005732E4" w:rsidRPr="009B1765">
        <w:rPr>
          <w:rFonts w:ascii="Arial" w:hAnsi="Arial" w:cs="Arial"/>
          <w:sz w:val="20"/>
          <w:szCs w:val="20"/>
        </w:rPr>
        <w:t>full-width</w:t>
      </w:r>
      <w:proofErr w:type="gramEnd"/>
      <w:r w:rsidR="005732E4" w:rsidRPr="009B1765">
        <w:rPr>
          <w:rFonts w:ascii="Arial" w:hAnsi="Arial" w:cs="Arial"/>
          <w:sz w:val="20"/>
          <w:szCs w:val="20"/>
        </w:rPr>
        <w:t xml:space="preserve"> passing lanes, turn lanes, or auxiliary lanes more than 1500 lane feet</w:t>
      </w:r>
      <w:r w:rsidR="00670ABC" w:rsidRPr="009B1765">
        <w:rPr>
          <w:rFonts w:ascii="Arial" w:hAnsi="Arial" w:cs="Arial"/>
          <w:sz w:val="20"/>
          <w:szCs w:val="20"/>
        </w:rPr>
        <w:t>, and those lanes must also include the 460.2005 Incentive Density PWL HMA Pavement bid item</w:t>
      </w:r>
      <w:r w:rsidRPr="009B1765">
        <w:rPr>
          <w:rFonts w:ascii="Arial" w:hAnsi="Arial" w:cs="Arial"/>
          <w:sz w:val="20"/>
          <w:szCs w:val="20"/>
        </w:rPr>
        <w:t xml:space="preserve">. This excludes </w:t>
      </w:r>
      <w:bookmarkStart w:id="3" w:name="_Hlk516217945"/>
      <w:r w:rsidRPr="009B1765">
        <w:rPr>
          <w:rFonts w:ascii="Arial" w:hAnsi="Arial" w:cs="Arial"/>
          <w:sz w:val="20"/>
          <w:szCs w:val="20"/>
        </w:rPr>
        <w:t>any joint with one side defined as a shoulder</w:t>
      </w:r>
      <w:r w:rsidR="005732E4" w:rsidRPr="009B1765">
        <w:rPr>
          <w:rFonts w:ascii="Arial" w:hAnsi="Arial" w:cs="Arial"/>
          <w:sz w:val="20"/>
          <w:szCs w:val="20"/>
        </w:rPr>
        <w:t xml:space="preserve"> and </w:t>
      </w:r>
      <w:bookmarkEnd w:id="3"/>
      <w:r w:rsidR="005732E4" w:rsidRPr="009B1765">
        <w:rPr>
          <w:rFonts w:ascii="Arial" w:hAnsi="Arial" w:cs="Arial"/>
          <w:sz w:val="20"/>
          <w:szCs w:val="20"/>
        </w:rPr>
        <w:t>ramp lanes of any length.</w:t>
      </w:r>
      <w:r w:rsidR="00BB1047" w:rsidRPr="009B1765">
        <w:rPr>
          <w:rFonts w:ascii="Arial" w:hAnsi="Arial" w:cs="Arial"/>
          <w:sz w:val="20"/>
          <w:szCs w:val="20"/>
        </w:rPr>
        <w:t xml:space="preserve"> If echelon paving is required in the </w:t>
      </w:r>
      <w:r w:rsidR="004070D4" w:rsidRPr="009B1765">
        <w:rPr>
          <w:rFonts w:ascii="Arial" w:hAnsi="Arial" w:cs="Arial"/>
          <w:sz w:val="20"/>
          <w:szCs w:val="20"/>
        </w:rPr>
        <w:t>contract</w:t>
      </w:r>
      <w:r w:rsidR="00BB1047" w:rsidRPr="009B1765">
        <w:rPr>
          <w:rFonts w:ascii="Arial" w:hAnsi="Arial" w:cs="Arial"/>
          <w:sz w:val="20"/>
          <w:szCs w:val="20"/>
        </w:rPr>
        <w:t xml:space="preserve">, the longitudinal joint density specification shall not apply for those joints. </w:t>
      </w:r>
      <w:r w:rsidR="00B16B0E" w:rsidRPr="009B1765">
        <w:rPr>
          <w:rFonts w:ascii="Arial" w:hAnsi="Arial" w:cs="Arial"/>
          <w:sz w:val="20"/>
          <w:szCs w:val="20"/>
        </w:rPr>
        <w:t xml:space="preserve">Longitudinal joints placed during a test strip </w:t>
      </w:r>
      <w:r w:rsidR="00A336F1" w:rsidRPr="009B1765">
        <w:rPr>
          <w:rFonts w:ascii="Arial" w:hAnsi="Arial" w:cs="Arial"/>
          <w:sz w:val="20"/>
          <w:szCs w:val="20"/>
        </w:rPr>
        <w:t xml:space="preserve">will be tested for information only </w:t>
      </w:r>
      <w:r w:rsidR="003B5DF4" w:rsidRPr="009B1765">
        <w:rPr>
          <w:rFonts w:ascii="Arial" w:hAnsi="Arial" w:cs="Arial"/>
          <w:sz w:val="20"/>
          <w:szCs w:val="20"/>
        </w:rPr>
        <w:t>to help ensure the roller pattern will provide adequate longitudinal joint density during production. Longitudinal joint density test results collected during a test strip</w:t>
      </w:r>
      <w:r w:rsidR="00A336F1" w:rsidRPr="009B1765">
        <w:rPr>
          <w:rFonts w:ascii="Arial" w:hAnsi="Arial" w:cs="Arial"/>
          <w:sz w:val="20"/>
          <w:szCs w:val="20"/>
        </w:rPr>
        <w:t xml:space="preserve"> are not eligible for </w:t>
      </w:r>
      <w:r w:rsidR="003B5DF4" w:rsidRPr="009B1765">
        <w:rPr>
          <w:rFonts w:ascii="Arial" w:hAnsi="Arial" w:cs="Arial"/>
          <w:sz w:val="20"/>
          <w:szCs w:val="20"/>
        </w:rPr>
        <w:t>pay adjustment</w:t>
      </w:r>
      <w:r w:rsidR="00A336F1" w:rsidRPr="009B1765">
        <w:rPr>
          <w:rFonts w:ascii="Arial" w:hAnsi="Arial" w:cs="Arial"/>
          <w:sz w:val="20"/>
          <w:szCs w:val="20"/>
        </w:rPr>
        <w:t>.</w:t>
      </w:r>
    </w:p>
    <w:bookmarkEnd w:id="2"/>
    <w:p w14:paraId="524883BF" w14:textId="55A10AE3" w:rsidR="00541E74" w:rsidRPr="009B1765" w:rsidRDefault="00541E74" w:rsidP="00B640A4">
      <w:pPr>
        <w:spacing w:before="120" w:after="120"/>
        <w:rPr>
          <w:rFonts w:ascii="Arial" w:hAnsi="Arial" w:cs="Arial"/>
          <w:sz w:val="20"/>
          <w:szCs w:val="20"/>
        </w:rPr>
      </w:pPr>
      <w:r w:rsidRPr="009B1765">
        <w:rPr>
          <w:rFonts w:ascii="Arial" w:hAnsi="Arial" w:cs="Arial"/>
          <w:sz w:val="20"/>
          <w:szCs w:val="20"/>
        </w:rPr>
        <w:t>Pay is determined according to standard spec 460</w:t>
      </w:r>
      <w:r w:rsidR="002D7D20" w:rsidRPr="009B1765">
        <w:rPr>
          <w:rFonts w:ascii="Arial" w:hAnsi="Arial" w:cs="Arial"/>
          <w:sz w:val="20"/>
          <w:szCs w:val="20"/>
        </w:rPr>
        <w:t>,</w:t>
      </w:r>
      <w:r w:rsidRPr="009B1765">
        <w:rPr>
          <w:rFonts w:ascii="Arial" w:hAnsi="Arial" w:cs="Arial"/>
          <w:sz w:val="20"/>
          <w:szCs w:val="20"/>
        </w:rPr>
        <w:t xml:space="preserve"> HMA Pavement Percent Within Limits QMP special provisions, and as modified within.</w:t>
      </w:r>
    </w:p>
    <w:p w14:paraId="0382BE92" w14:textId="77777777" w:rsidR="00541E74" w:rsidRPr="009B1765" w:rsidRDefault="00541E74" w:rsidP="00B640A4">
      <w:pPr>
        <w:spacing w:before="120" w:after="120"/>
        <w:rPr>
          <w:rFonts w:ascii="Arial" w:hAnsi="Arial" w:cs="Arial"/>
          <w:b/>
          <w:sz w:val="20"/>
          <w:szCs w:val="20"/>
        </w:rPr>
      </w:pPr>
      <w:proofErr w:type="gramStart"/>
      <w:r w:rsidRPr="009B1765">
        <w:rPr>
          <w:rFonts w:ascii="Arial" w:hAnsi="Arial" w:cs="Arial"/>
          <w:b/>
          <w:sz w:val="20"/>
          <w:szCs w:val="20"/>
        </w:rPr>
        <w:t>B  Materials</w:t>
      </w:r>
      <w:proofErr w:type="gramEnd"/>
    </w:p>
    <w:p w14:paraId="5A19C1D6" w14:textId="7D54BDB8" w:rsidR="00CD09D2" w:rsidRPr="009B1765" w:rsidRDefault="004B31C3" w:rsidP="00B640A4">
      <w:pPr>
        <w:spacing w:before="120" w:after="120" w:line="240" w:lineRule="auto"/>
        <w:rPr>
          <w:rFonts w:ascii="Arial" w:hAnsi="Arial" w:cs="Arial"/>
          <w:i/>
          <w:sz w:val="20"/>
          <w:szCs w:val="20"/>
        </w:rPr>
      </w:pPr>
      <w:r w:rsidRPr="009B1765">
        <w:rPr>
          <w:rFonts w:ascii="Arial" w:hAnsi="Arial" w:cs="Arial"/>
          <w:sz w:val="20"/>
          <w:szCs w:val="20"/>
        </w:rPr>
        <w:t xml:space="preserve">Compact </w:t>
      </w:r>
      <w:r w:rsidR="00CD09D2" w:rsidRPr="009B1765">
        <w:rPr>
          <w:rFonts w:ascii="Arial" w:hAnsi="Arial" w:cs="Arial"/>
          <w:sz w:val="20"/>
          <w:szCs w:val="20"/>
        </w:rPr>
        <w:t>all applicable</w:t>
      </w:r>
      <w:r w:rsidRPr="009B1765">
        <w:rPr>
          <w:rFonts w:ascii="Arial" w:hAnsi="Arial" w:cs="Arial"/>
          <w:sz w:val="20"/>
          <w:szCs w:val="20"/>
        </w:rPr>
        <w:t xml:space="preserve"> HMA longitudinal joints to the</w:t>
      </w:r>
      <w:r w:rsidR="00CD09D2" w:rsidRPr="009B1765">
        <w:rPr>
          <w:rFonts w:ascii="Arial" w:hAnsi="Arial" w:cs="Arial"/>
          <w:sz w:val="20"/>
          <w:szCs w:val="20"/>
        </w:rPr>
        <w:t xml:space="preserve"> appropriate </w:t>
      </w:r>
      <w:r w:rsidRPr="009B1765">
        <w:rPr>
          <w:rFonts w:ascii="Arial" w:hAnsi="Arial" w:cs="Arial"/>
          <w:sz w:val="20"/>
          <w:szCs w:val="20"/>
        </w:rPr>
        <w:t>density</w:t>
      </w:r>
      <w:r w:rsidR="00CD09D2" w:rsidRPr="009B1765">
        <w:rPr>
          <w:rFonts w:ascii="Arial" w:hAnsi="Arial" w:cs="Arial"/>
          <w:sz w:val="20"/>
          <w:szCs w:val="20"/>
        </w:rPr>
        <w:t xml:space="preserve"> based on the layer, confinement, and mixture type shown in </w:t>
      </w:r>
      <w:r w:rsidR="003B774C" w:rsidRPr="009B1765">
        <w:rPr>
          <w:rFonts w:ascii="Arial" w:hAnsi="Arial" w:cs="Arial"/>
          <w:sz w:val="20"/>
          <w:szCs w:val="20"/>
        </w:rPr>
        <w:t>T</w:t>
      </w:r>
      <w:r w:rsidR="00CD09D2" w:rsidRPr="009B1765">
        <w:rPr>
          <w:rFonts w:ascii="Arial" w:hAnsi="Arial" w:cs="Arial"/>
          <w:sz w:val="20"/>
          <w:szCs w:val="20"/>
        </w:rPr>
        <w:t>able</w:t>
      </w:r>
      <w:r w:rsidR="00A83C1D" w:rsidRPr="009B1765">
        <w:rPr>
          <w:rFonts w:ascii="Arial" w:hAnsi="Arial" w:cs="Arial"/>
          <w:sz w:val="20"/>
          <w:szCs w:val="20"/>
        </w:rPr>
        <w:t xml:space="preserve"> B-1</w:t>
      </w:r>
      <w:r w:rsidR="00CD09D2" w:rsidRPr="009B1765">
        <w:rPr>
          <w:rFonts w:ascii="Arial" w:hAnsi="Arial" w:cs="Arial"/>
          <w:sz w:val="20"/>
          <w:szCs w:val="20"/>
        </w:rPr>
        <w:t>.</w:t>
      </w:r>
    </w:p>
    <w:p w14:paraId="4FA100F6" w14:textId="103AF669" w:rsidR="004B31C3" w:rsidRPr="009B1765" w:rsidRDefault="00CD09D2" w:rsidP="00670ABC">
      <w:pPr>
        <w:pStyle w:val="wiTableTitle"/>
      </w:pPr>
      <w:r w:rsidRPr="009B1765">
        <w:t>TABLE B-</w:t>
      </w:r>
      <w:proofErr w:type="gramStart"/>
      <w:r w:rsidRPr="009B1765">
        <w:t>1  MINIMUM</w:t>
      </w:r>
      <w:proofErr w:type="gramEnd"/>
      <w:r w:rsidRPr="009B1765">
        <w:t xml:space="preserve"> REQUIRED LONGITUDINAL JOINT DENSITY</w:t>
      </w:r>
    </w:p>
    <w:tbl>
      <w:tblPr>
        <w:tblW w:w="9420" w:type="dxa"/>
        <w:tblLook w:val="04A0" w:firstRow="1" w:lastRow="0" w:firstColumn="1" w:lastColumn="0" w:noHBand="0" w:noVBand="1"/>
      </w:tblPr>
      <w:tblGrid>
        <w:gridCol w:w="2780"/>
        <w:gridCol w:w="1625"/>
        <w:gridCol w:w="1510"/>
        <w:gridCol w:w="1730"/>
        <w:gridCol w:w="1775"/>
      </w:tblGrid>
      <w:tr w:rsidR="00B74A80" w:rsidRPr="009B1765" w14:paraId="11F87261" w14:textId="77777777" w:rsidTr="009B5254">
        <w:trPr>
          <w:trHeight w:val="30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EFBD"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Layer</w:t>
            </w:r>
          </w:p>
        </w:tc>
        <w:tc>
          <w:tcPr>
            <w:tcW w:w="66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F7E427"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Percent of Target Maximum Density</w:t>
            </w:r>
          </w:p>
        </w:tc>
      </w:tr>
      <w:tr w:rsidR="00B74A80" w:rsidRPr="009B1765" w14:paraId="72C830A7" w14:textId="77777777" w:rsidTr="009B5254">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348AE49" w14:textId="77777777" w:rsidR="004B31C3" w:rsidRPr="0076267A" w:rsidRDefault="004B31C3" w:rsidP="004B31C3">
            <w:pPr>
              <w:spacing w:after="0" w:line="240" w:lineRule="auto"/>
              <w:rPr>
                <w:rFonts w:ascii="Arial" w:eastAsia="Times New Roman" w:hAnsi="Arial" w:cs="Arial"/>
                <w:sz w:val="18"/>
                <w:szCs w:val="18"/>
              </w:rPr>
            </w:pPr>
          </w:p>
        </w:tc>
        <w:tc>
          <w:tcPr>
            <w:tcW w:w="31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52DF18"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Unconfined</w:t>
            </w:r>
          </w:p>
        </w:tc>
        <w:tc>
          <w:tcPr>
            <w:tcW w:w="35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55485"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Confined</w:t>
            </w:r>
          </w:p>
        </w:tc>
      </w:tr>
      <w:tr w:rsidR="00B74A80" w:rsidRPr="009B1765" w14:paraId="23EF36B5" w14:textId="77777777" w:rsidTr="009B5254">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4FF7BAB" w14:textId="77777777" w:rsidR="004B31C3" w:rsidRPr="0076267A" w:rsidRDefault="004B31C3" w:rsidP="004B31C3">
            <w:pPr>
              <w:spacing w:after="0" w:line="240" w:lineRule="auto"/>
              <w:rPr>
                <w:rFonts w:ascii="Arial" w:eastAsia="Times New Roman" w:hAnsi="Arial" w:cs="Arial"/>
                <w:sz w:val="18"/>
                <w:szCs w:val="18"/>
              </w:rPr>
            </w:pPr>
          </w:p>
        </w:tc>
        <w:tc>
          <w:tcPr>
            <w:tcW w:w="1625" w:type="dxa"/>
            <w:tcBorders>
              <w:top w:val="nil"/>
              <w:left w:val="nil"/>
              <w:bottom w:val="single" w:sz="4" w:space="0" w:color="auto"/>
              <w:right w:val="single" w:sz="4" w:space="0" w:color="auto"/>
            </w:tcBorders>
            <w:shd w:val="clear" w:color="auto" w:fill="auto"/>
            <w:noWrap/>
            <w:vAlign w:val="center"/>
            <w:hideMark/>
          </w:tcPr>
          <w:p w14:paraId="5838127B"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LT and MT</w:t>
            </w:r>
          </w:p>
        </w:tc>
        <w:tc>
          <w:tcPr>
            <w:tcW w:w="1510" w:type="dxa"/>
            <w:tcBorders>
              <w:top w:val="nil"/>
              <w:left w:val="nil"/>
              <w:bottom w:val="single" w:sz="4" w:space="0" w:color="auto"/>
              <w:right w:val="single" w:sz="4" w:space="0" w:color="auto"/>
            </w:tcBorders>
            <w:shd w:val="clear" w:color="auto" w:fill="auto"/>
            <w:noWrap/>
            <w:vAlign w:val="center"/>
            <w:hideMark/>
          </w:tcPr>
          <w:p w14:paraId="7A29DDD5"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HT</w:t>
            </w:r>
          </w:p>
        </w:tc>
        <w:tc>
          <w:tcPr>
            <w:tcW w:w="1730" w:type="dxa"/>
            <w:tcBorders>
              <w:top w:val="nil"/>
              <w:left w:val="nil"/>
              <w:bottom w:val="single" w:sz="4" w:space="0" w:color="auto"/>
              <w:right w:val="single" w:sz="4" w:space="0" w:color="auto"/>
            </w:tcBorders>
            <w:shd w:val="clear" w:color="auto" w:fill="auto"/>
            <w:noWrap/>
            <w:vAlign w:val="center"/>
            <w:hideMark/>
          </w:tcPr>
          <w:p w14:paraId="33303CD3"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LT and MT</w:t>
            </w:r>
          </w:p>
        </w:tc>
        <w:tc>
          <w:tcPr>
            <w:tcW w:w="1775" w:type="dxa"/>
            <w:tcBorders>
              <w:top w:val="nil"/>
              <w:left w:val="nil"/>
              <w:bottom w:val="single" w:sz="4" w:space="0" w:color="auto"/>
              <w:right w:val="single" w:sz="4" w:space="0" w:color="auto"/>
            </w:tcBorders>
            <w:shd w:val="clear" w:color="auto" w:fill="auto"/>
            <w:noWrap/>
            <w:vAlign w:val="center"/>
            <w:hideMark/>
          </w:tcPr>
          <w:p w14:paraId="5C9A3BA6" w14:textId="77777777" w:rsidR="004B31C3" w:rsidRPr="0076267A" w:rsidRDefault="004B31C3" w:rsidP="0038181F">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HT</w:t>
            </w:r>
          </w:p>
        </w:tc>
      </w:tr>
      <w:tr w:rsidR="00B74A80" w:rsidRPr="009B1765" w14:paraId="6338C507" w14:textId="77777777" w:rsidTr="004B31C3">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2B128AB5"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Lower</w:t>
            </w:r>
            <w:r w:rsidRPr="0076267A">
              <w:rPr>
                <w:rFonts w:ascii="Arial" w:eastAsia="Times New Roman" w:hAnsi="Arial" w:cs="Arial"/>
                <w:sz w:val="18"/>
                <w:szCs w:val="18"/>
              </w:rPr>
              <w:br/>
              <w:t>(on crushed/recycled base)</w:t>
            </w:r>
          </w:p>
        </w:tc>
        <w:tc>
          <w:tcPr>
            <w:tcW w:w="1625" w:type="dxa"/>
            <w:tcBorders>
              <w:top w:val="nil"/>
              <w:left w:val="nil"/>
              <w:bottom w:val="single" w:sz="4" w:space="0" w:color="auto"/>
              <w:right w:val="single" w:sz="4" w:space="0" w:color="auto"/>
            </w:tcBorders>
            <w:shd w:val="clear" w:color="auto" w:fill="auto"/>
            <w:noWrap/>
            <w:vAlign w:val="center"/>
            <w:hideMark/>
          </w:tcPr>
          <w:p w14:paraId="01600A24"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88</w:t>
            </w:r>
          </w:p>
        </w:tc>
        <w:tc>
          <w:tcPr>
            <w:tcW w:w="1510" w:type="dxa"/>
            <w:tcBorders>
              <w:top w:val="nil"/>
              <w:left w:val="nil"/>
              <w:bottom w:val="single" w:sz="4" w:space="0" w:color="auto"/>
              <w:right w:val="single" w:sz="4" w:space="0" w:color="auto"/>
            </w:tcBorders>
            <w:shd w:val="clear" w:color="auto" w:fill="auto"/>
            <w:noWrap/>
            <w:vAlign w:val="center"/>
            <w:hideMark/>
          </w:tcPr>
          <w:p w14:paraId="5C71A606"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89</w:t>
            </w:r>
          </w:p>
        </w:tc>
        <w:tc>
          <w:tcPr>
            <w:tcW w:w="1730" w:type="dxa"/>
            <w:tcBorders>
              <w:top w:val="nil"/>
              <w:left w:val="nil"/>
              <w:bottom w:val="single" w:sz="4" w:space="0" w:color="auto"/>
              <w:right w:val="single" w:sz="4" w:space="0" w:color="auto"/>
            </w:tcBorders>
            <w:shd w:val="clear" w:color="auto" w:fill="auto"/>
            <w:noWrap/>
            <w:vAlign w:val="center"/>
            <w:hideMark/>
          </w:tcPr>
          <w:p w14:paraId="0EFB0EB3"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89.5</w:t>
            </w:r>
          </w:p>
        </w:tc>
        <w:tc>
          <w:tcPr>
            <w:tcW w:w="1775" w:type="dxa"/>
            <w:tcBorders>
              <w:top w:val="nil"/>
              <w:left w:val="nil"/>
              <w:bottom w:val="single" w:sz="4" w:space="0" w:color="auto"/>
              <w:right w:val="single" w:sz="4" w:space="0" w:color="auto"/>
            </w:tcBorders>
            <w:shd w:val="clear" w:color="auto" w:fill="auto"/>
            <w:noWrap/>
            <w:vAlign w:val="center"/>
            <w:hideMark/>
          </w:tcPr>
          <w:p w14:paraId="506F91CA"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90.5</w:t>
            </w:r>
          </w:p>
        </w:tc>
      </w:tr>
      <w:tr w:rsidR="00B74A80" w:rsidRPr="009B1765" w14:paraId="60223B22" w14:textId="77777777" w:rsidTr="004B31C3">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3EB84CC"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Lower</w:t>
            </w:r>
            <w:r w:rsidRPr="0076267A">
              <w:rPr>
                <w:rFonts w:ascii="Arial" w:eastAsia="Times New Roman" w:hAnsi="Arial" w:cs="Arial"/>
                <w:sz w:val="18"/>
                <w:szCs w:val="18"/>
              </w:rPr>
              <w:br/>
              <w:t>(on Concrete/HMA)</w:t>
            </w:r>
          </w:p>
        </w:tc>
        <w:tc>
          <w:tcPr>
            <w:tcW w:w="1625" w:type="dxa"/>
            <w:tcBorders>
              <w:top w:val="nil"/>
              <w:left w:val="nil"/>
              <w:bottom w:val="single" w:sz="4" w:space="0" w:color="auto"/>
              <w:right w:val="single" w:sz="4" w:space="0" w:color="auto"/>
            </w:tcBorders>
            <w:shd w:val="clear" w:color="auto" w:fill="auto"/>
            <w:noWrap/>
            <w:vAlign w:val="center"/>
            <w:hideMark/>
          </w:tcPr>
          <w:p w14:paraId="4D524520" w14:textId="39931531" w:rsidR="004B31C3" w:rsidRPr="0076267A" w:rsidRDefault="004B31C3" w:rsidP="004B31C3">
            <w:pPr>
              <w:spacing w:after="0" w:line="240" w:lineRule="auto"/>
              <w:jc w:val="center"/>
              <w:rPr>
                <w:rFonts w:ascii="Arial" w:eastAsia="Times New Roman" w:hAnsi="Arial" w:cs="Arial"/>
                <w:sz w:val="18"/>
                <w:szCs w:val="18"/>
              </w:rPr>
            </w:pPr>
            <w:r w:rsidRPr="0003335D">
              <w:rPr>
                <w:rFonts w:ascii="Arial" w:eastAsia="Times New Roman" w:hAnsi="Arial" w:cs="Arial"/>
                <w:sz w:val="18"/>
                <w:szCs w:val="18"/>
              </w:rPr>
              <w:t>90</w:t>
            </w:r>
            <w:r w:rsidR="001E70AF" w:rsidRPr="0003335D">
              <w:rPr>
                <w:rFonts w:ascii="Arial" w:eastAsia="Times New Roman" w:hAnsi="Arial" w:cs="Arial"/>
                <w:sz w:val="18"/>
                <w:szCs w:val="18"/>
                <w:vertAlign w:val="superscript"/>
              </w:rPr>
              <w:t>[1]</w:t>
            </w:r>
          </w:p>
        </w:tc>
        <w:tc>
          <w:tcPr>
            <w:tcW w:w="1510" w:type="dxa"/>
            <w:tcBorders>
              <w:top w:val="nil"/>
              <w:left w:val="nil"/>
              <w:bottom w:val="single" w:sz="4" w:space="0" w:color="auto"/>
              <w:right w:val="single" w:sz="4" w:space="0" w:color="auto"/>
            </w:tcBorders>
            <w:shd w:val="clear" w:color="auto" w:fill="auto"/>
            <w:noWrap/>
            <w:vAlign w:val="center"/>
            <w:hideMark/>
          </w:tcPr>
          <w:p w14:paraId="6832AD3F" w14:textId="7287DEE8" w:rsidR="004B31C3" w:rsidRPr="0003335D" w:rsidRDefault="004B31C3" w:rsidP="004B31C3">
            <w:pPr>
              <w:spacing w:after="0" w:line="240" w:lineRule="auto"/>
              <w:jc w:val="center"/>
              <w:rPr>
                <w:rFonts w:ascii="Arial" w:eastAsia="Times New Roman" w:hAnsi="Arial" w:cs="Arial"/>
                <w:sz w:val="18"/>
                <w:szCs w:val="18"/>
              </w:rPr>
            </w:pPr>
            <w:r w:rsidRPr="0003335D">
              <w:rPr>
                <w:rFonts w:ascii="Arial" w:eastAsia="Times New Roman" w:hAnsi="Arial" w:cs="Arial"/>
                <w:sz w:val="18"/>
                <w:szCs w:val="18"/>
              </w:rPr>
              <w:t>90</w:t>
            </w:r>
            <w:r w:rsidR="001E70AF" w:rsidRPr="0003335D">
              <w:rPr>
                <w:rFonts w:ascii="Arial" w:eastAsia="Times New Roman" w:hAnsi="Arial" w:cs="Arial"/>
                <w:sz w:val="18"/>
                <w:szCs w:val="18"/>
                <w:vertAlign w:val="superscript"/>
              </w:rPr>
              <w:t>[1]</w:t>
            </w:r>
          </w:p>
        </w:tc>
        <w:tc>
          <w:tcPr>
            <w:tcW w:w="1730" w:type="dxa"/>
            <w:tcBorders>
              <w:top w:val="nil"/>
              <w:left w:val="nil"/>
              <w:bottom w:val="single" w:sz="4" w:space="0" w:color="auto"/>
              <w:right w:val="single" w:sz="4" w:space="0" w:color="auto"/>
            </w:tcBorders>
            <w:shd w:val="clear" w:color="auto" w:fill="auto"/>
            <w:noWrap/>
            <w:vAlign w:val="center"/>
            <w:hideMark/>
          </w:tcPr>
          <w:p w14:paraId="7B2D34CE" w14:textId="2F742AA6" w:rsidR="004B31C3" w:rsidRPr="0003335D" w:rsidRDefault="004B31C3" w:rsidP="004B31C3">
            <w:pPr>
              <w:spacing w:after="0" w:line="240" w:lineRule="auto"/>
              <w:jc w:val="center"/>
              <w:rPr>
                <w:rFonts w:ascii="Arial" w:eastAsia="Times New Roman" w:hAnsi="Arial" w:cs="Arial"/>
                <w:sz w:val="18"/>
                <w:szCs w:val="18"/>
              </w:rPr>
            </w:pPr>
            <w:r w:rsidRPr="0003335D">
              <w:rPr>
                <w:rFonts w:ascii="Arial" w:eastAsia="Times New Roman" w:hAnsi="Arial" w:cs="Arial"/>
                <w:sz w:val="18"/>
                <w:szCs w:val="18"/>
              </w:rPr>
              <w:t>91.5</w:t>
            </w:r>
            <w:r w:rsidR="001E70AF" w:rsidRPr="0003335D">
              <w:rPr>
                <w:rFonts w:ascii="Arial" w:eastAsia="Times New Roman" w:hAnsi="Arial" w:cs="Arial"/>
                <w:sz w:val="18"/>
                <w:szCs w:val="18"/>
                <w:vertAlign w:val="superscript"/>
              </w:rPr>
              <w:t>[1]</w:t>
            </w:r>
          </w:p>
        </w:tc>
        <w:tc>
          <w:tcPr>
            <w:tcW w:w="1775" w:type="dxa"/>
            <w:tcBorders>
              <w:top w:val="nil"/>
              <w:left w:val="nil"/>
              <w:bottom w:val="single" w:sz="4" w:space="0" w:color="auto"/>
              <w:right w:val="single" w:sz="4" w:space="0" w:color="auto"/>
            </w:tcBorders>
            <w:shd w:val="clear" w:color="auto" w:fill="auto"/>
            <w:noWrap/>
            <w:vAlign w:val="center"/>
            <w:hideMark/>
          </w:tcPr>
          <w:p w14:paraId="104FCAC2" w14:textId="6B5E9F0D" w:rsidR="004B31C3" w:rsidRPr="0003335D" w:rsidRDefault="004B31C3" w:rsidP="004B31C3">
            <w:pPr>
              <w:spacing w:after="0" w:line="240" w:lineRule="auto"/>
              <w:jc w:val="center"/>
              <w:rPr>
                <w:rFonts w:ascii="Arial" w:eastAsia="Times New Roman" w:hAnsi="Arial" w:cs="Arial"/>
                <w:sz w:val="18"/>
                <w:szCs w:val="18"/>
              </w:rPr>
            </w:pPr>
            <w:r w:rsidRPr="0003335D">
              <w:rPr>
                <w:rFonts w:ascii="Arial" w:eastAsia="Times New Roman" w:hAnsi="Arial" w:cs="Arial"/>
                <w:sz w:val="18"/>
                <w:szCs w:val="18"/>
              </w:rPr>
              <w:t>91.5</w:t>
            </w:r>
            <w:r w:rsidR="001E70AF" w:rsidRPr="0003335D">
              <w:rPr>
                <w:rFonts w:ascii="Arial" w:eastAsia="Times New Roman" w:hAnsi="Arial" w:cs="Arial"/>
                <w:sz w:val="18"/>
                <w:szCs w:val="18"/>
                <w:vertAlign w:val="superscript"/>
              </w:rPr>
              <w:t>[1]</w:t>
            </w:r>
          </w:p>
        </w:tc>
      </w:tr>
      <w:tr w:rsidR="00B74A80" w:rsidRPr="009B1765" w14:paraId="1623569E" w14:textId="77777777" w:rsidTr="004B31C3">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C436C35"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Upper</w:t>
            </w:r>
          </w:p>
        </w:tc>
        <w:tc>
          <w:tcPr>
            <w:tcW w:w="1625" w:type="dxa"/>
            <w:tcBorders>
              <w:top w:val="nil"/>
              <w:left w:val="nil"/>
              <w:bottom w:val="single" w:sz="4" w:space="0" w:color="auto"/>
              <w:right w:val="single" w:sz="4" w:space="0" w:color="auto"/>
            </w:tcBorders>
            <w:shd w:val="clear" w:color="auto" w:fill="auto"/>
            <w:noWrap/>
            <w:vAlign w:val="center"/>
            <w:hideMark/>
          </w:tcPr>
          <w:p w14:paraId="619AF376"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90</w:t>
            </w:r>
          </w:p>
        </w:tc>
        <w:tc>
          <w:tcPr>
            <w:tcW w:w="1510" w:type="dxa"/>
            <w:tcBorders>
              <w:top w:val="nil"/>
              <w:left w:val="nil"/>
              <w:bottom w:val="single" w:sz="4" w:space="0" w:color="auto"/>
              <w:right w:val="single" w:sz="4" w:space="0" w:color="auto"/>
            </w:tcBorders>
            <w:shd w:val="clear" w:color="auto" w:fill="auto"/>
            <w:noWrap/>
            <w:vAlign w:val="center"/>
            <w:hideMark/>
          </w:tcPr>
          <w:p w14:paraId="107AD747"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90</w:t>
            </w:r>
          </w:p>
        </w:tc>
        <w:tc>
          <w:tcPr>
            <w:tcW w:w="1730" w:type="dxa"/>
            <w:tcBorders>
              <w:top w:val="nil"/>
              <w:left w:val="nil"/>
              <w:bottom w:val="single" w:sz="4" w:space="0" w:color="auto"/>
              <w:right w:val="single" w:sz="4" w:space="0" w:color="auto"/>
            </w:tcBorders>
            <w:shd w:val="clear" w:color="auto" w:fill="auto"/>
            <w:noWrap/>
            <w:vAlign w:val="center"/>
            <w:hideMark/>
          </w:tcPr>
          <w:p w14:paraId="53A1775D"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91.5</w:t>
            </w:r>
          </w:p>
        </w:tc>
        <w:tc>
          <w:tcPr>
            <w:tcW w:w="1775" w:type="dxa"/>
            <w:tcBorders>
              <w:top w:val="nil"/>
              <w:left w:val="nil"/>
              <w:bottom w:val="single" w:sz="4" w:space="0" w:color="auto"/>
              <w:right w:val="single" w:sz="4" w:space="0" w:color="auto"/>
            </w:tcBorders>
            <w:shd w:val="clear" w:color="auto" w:fill="auto"/>
            <w:noWrap/>
            <w:vAlign w:val="center"/>
            <w:hideMark/>
          </w:tcPr>
          <w:p w14:paraId="746D09F1" w14:textId="77777777" w:rsidR="004B31C3" w:rsidRPr="0076267A" w:rsidRDefault="004B31C3" w:rsidP="004B31C3">
            <w:pPr>
              <w:spacing w:after="0" w:line="240" w:lineRule="auto"/>
              <w:jc w:val="center"/>
              <w:rPr>
                <w:rFonts w:ascii="Arial" w:eastAsia="Times New Roman" w:hAnsi="Arial" w:cs="Arial"/>
                <w:sz w:val="18"/>
                <w:szCs w:val="18"/>
              </w:rPr>
            </w:pPr>
            <w:r w:rsidRPr="0076267A">
              <w:rPr>
                <w:rFonts w:ascii="Arial" w:eastAsia="Times New Roman" w:hAnsi="Arial" w:cs="Arial"/>
                <w:sz w:val="18"/>
                <w:szCs w:val="18"/>
              </w:rPr>
              <w:t>91.5</w:t>
            </w:r>
          </w:p>
        </w:tc>
      </w:tr>
    </w:tbl>
    <w:p w14:paraId="200A55D5" w14:textId="7C02608B" w:rsidR="001E70AF" w:rsidRPr="0003335D" w:rsidRDefault="001E70AF" w:rsidP="0003335D">
      <w:pPr>
        <w:pStyle w:val="ssTableFooter"/>
        <w:tabs>
          <w:tab w:val="clear" w:pos="576"/>
          <w:tab w:val="left" w:pos="180"/>
        </w:tabs>
        <w:ind w:left="180" w:hanging="180"/>
      </w:pPr>
      <w:r w:rsidRPr="0003335D">
        <w:rPr>
          <w:vertAlign w:val="superscript"/>
        </w:rPr>
        <w:t>[1]</w:t>
      </w:r>
      <w:r w:rsidRPr="0003335D">
        <w:t xml:space="preserve"> Minimum reduced by 1.0 percent for a 1.25-inch-thick No. 5 mix lower layer constructed on a paved or milled surface.</w:t>
      </w:r>
    </w:p>
    <w:p w14:paraId="0C2BC3B3" w14:textId="66BDF26E" w:rsidR="00541E74" w:rsidRPr="009B1765" w:rsidRDefault="00541E74" w:rsidP="00B640A4">
      <w:pPr>
        <w:spacing w:before="120" w:after="120"/>
        <w:rPr>
          <w:rFonts w:ascii="Arial" w:hAnsi="Arial" w:cs="Arial"/>
          <w:b/>
          <w:sz w:val="20"/>
          <w:szCs w:val="20"/>
        </w:rPr>
      </w:pPr>
      <w:proofErr w:type="gramStart"/>
      <w:r w:rsidRPr="009B1765">
        <w:rPr>
          <w:rFonts w:ascii="Arial" w:hAnsi="Arial" w:cs="Arial"/>
          <w:b/>
          <w:sz w:val="20"/>
          <w:szCs w:val="20"/>
        </w:rPr>
        <w:t>C  Construction</w:t>
      </w:r>
      <w:proofErr w:type="gramEnd"/>
    </w:p>
    <w:p w14:paraId="05FF7077" w14:textId="4C4B1640" w:rsidR="00541E74" w:rsidRPr="009B1765" w:rsidRDefault="00162E00" w:rsidP="00B640A4">
      <w:pPr>
        <w:spacing w:before="120" w:after="120"/>
        <w:rPr>
          <w:rFonts w:ascii="Arial" w:hAnsi="Arial" w:cs="Arial"/>
          <w:sz w:val="20"/>
          <w:szCs w:val="20"/>
        </w:rPr>
      </w:pPr>
      <w:r w:rsidRPr="009B1765">
        <w:rPr>
          <w:rFonts w:ascii="Arial" w:hAnsi="Arial" w:cs="Arial"/>
          <w:i/>
          <w:sz w:val="20"/>
          <w:szCs w:val="20"/>
        </w:rPr>
        <w:t xml:space="preserve">Add the following to </w:t>
      </w:r>
      <w:r w:rsidR="00541E74" w:rsidRPr="009B1765">
        <w:rPr>
          <w:rFonts w:ascii="Arial" w:hAnsi="Arial" w:cs="Arial"/>
          <w:i/>
          <w:sz w:val="20"/>
          <w:szCs w:val="20"/>
        </w:rPr>
        <w:t>standard spec 460.3.3.2</w:t>
      </w:r>
      <w:r w:rsidRPr="009B1765">
        <w:rPr>
          <w:rFonts w:ascii="Arial" w:hAnsi="Arial" w:cs="Arial"/>
          <w:i/>
          <w:sz w:val="20"/>
          <w:szCs w:val="20"/>
        </w:rPr>
        <w:t>:</w:t>
      </w:r>
    </w:p>
    <w:p w14:paraId="338A2ED1" w14:textId="32BF1AB8" w:rsidR="00541E74" w:rsidRPr="009B1765" w:rsidRDefault="00541E74" w:rsidP="00B640A4">
      <w:pPr>
        <w:spacing w:before="120" w:after="120"/>
        <w:ind w:left="270" w:hanging="180"/>
        <w:rPr>
          <w:rFonts w:ascii="Arial" w:hAnsi="Arial" w:cs="Arial"/>
          <w:sz w:val="20"/>
          <w:szCs w:val="20"/>
        </w:rPr>
      </w:pPr>
      <w:r w:rsidRPr="009B1765">
        <w:rPr>
          <w:rFonts w:ascii="Arial" w:hAnsi="Arial" w:cs="Arial"/>
          <w:sz w:val="12"/>
          <w:szCs w:val="12"/>
        </w:rPr>
        <w:t>(5)</w:t>
      </w:r>
      <w:r w:rsidR="008C5D40" w:rsidRPr="009B1765">
        <w:rPr>
          <w:rFonts w:ascii="Arial" w:hAnsi="Arial" w:cs="Arial"/>
          <w:sz w:val="20"/>
          <w:szCs w:val="20"/>
        </w:rPr>
        <w:tab/>
      </w:r>
      <w:r w:rsidR="00A80096" w:rsidRPr="009B1765">
        <w:rPr>
          <w:rFonts w:ascii="Arial" w:hAnsi="Arial" w:cs="Arial"/>
          <w:sz w:val="20"/>
          <w:szCs w:val="20"/>
        </w:rPr>
        <w:t>Establish</w:t>
      </w:r>
      <w:r w:rsidRPr="009B1765">
        <w:rPr>
          <w:rFonts w:ascii="Arial" w:hAnsi="Arial" w:cs="Arial"/>
          <w:sz w:val="20"/>
          <w:szCs w:val="20"/>
        </w:rPr>
        <w:t xml:space="preserve"> companion density locations </w:t>
      </w:r>
      <w:r w:rsidR="00407B36">
        <w:rPr>
          <w:rFonts w:ascii="Arial" w:hAnsi="Arial" w:cs="Arial"/>
          <w:sz w:val="20"/>
          <w:szCs w:val="20"/>
        </w:rPr>
        <w:t>for</w:t>
      </w:r>
      <w:r w:rsidRPr="009B1765">
        <w:rPr>
          <w:rFonts w:ascii="Arial" w:hAnsi="Arial" w:cs="Arial"/>
          <w:sz w:val="20"/>
          <w:szCs w:val="20"/>
        </w:rPr>
        <w:t xml:space="preserve"> each applicable joint. Each companion location share</w:t>
      </w:r>
      <w:r w:rsidR="00A80096" w:rsidRPr="009B1765">
        <w:rPr>
          <w:rFonts w:ascii="Arial" w:hAnsi="Arial" w:cs="Arial"/>
          <w:sz w:val="20"/>
          <w:szCs w:val="20"/>
        </w:rPr>
        <w:t>s</w:t>
      </w:r>
      <w:r w:rsidRPr="009B1765">
        <w:rPr>
          <w:rFonts w:ascii="Arial" w:hAnsi="Arial" w:cs="Arial"/>
          <w:sz w:val="20"/>
          <w:szCs w:val="20"/>
        </w:rPr>
        <w:t xml:space="preserve"> longitudinal stationing with </w:t>
      </w:r>
      <w:r w:rsidR="00407B36">
        <w:rPr>
          <w:rFonts w:ascii="Arial" w:hAnsi="Arial" w:cs="Arial"/>
          <w:sz w:val="20"/>
          <w:szCs w:val="20"/>
        </w:rPr>
        <w:t>the</w:t>
      </w:r>
      <w:r w:rsidRPr="009B1765">
        <w:rPr>
          <w:rFonts w:ascii="Arial" w:hAnsi="Arial" w:cs="Arial"/>
          <w:sz w:val="20"/>
          <w:szCs w:val="20"/>
        </w:rPr>
        <w:t xml:space="preserve"> QV</w:t>
      </w:r>
      <w:r w:rsidR="00407B36">
        <w:rPr>
          <w:rFonts w:ascii="Arial" w:hAnsi="Arial" w:cs="Arial"/>
          <w:sz w:val="20"/>
          <w:szCs w:val="20"/>
        </w:rPr>
        <w:t xml:space="preserve"> mainline</w:t>
      </w:r>
      <w:r w:rsidRPr="009B1765">
        <w:rPr>
          <w:rFonts w:ascii="Arial" w:hAnsi="Arial" w:cs="Arial"/>
          <w:sz w:val="20"/>
          <w:szCs w:val="20"/>
        </w:rPr>
        <w:t xml:space="preserve"> density location within each sublot and </w:t>
      </w:r>
      <w:r w:rsidR="00A80096" w:rsidRPr="009B1765">
        <w:rPr>
          <w:rFonts w:ascii="Arial" w:hAnsi="Arial" w:cs="Arial"/>
          <w:sz w:val="20"/>
          <w:szCs w:val="20"/>
        </w:rPr>
        <w:t xml:space="preserve">is </w:t>
      </w:r>
      <w:r w:rsidRPr="009B1765">
        <w:rPr>
          <w:rFonts w:ascii="Arial" w:hAnsi="Arial" w:cs="Arial"/>
          <w:sz w:val="20"/>
          <w:szCs w:val="20"/>
        </w:rPr>
        <w:t xml:space="preserve">located transversely with the center of the </w:t>
      </w:r>
      <w:r w:rsidR="00830D3B" w:rsidRPr="009B1765">
        <w:rPr>
          <w:rFonts w:ascii="Arial" w:hAnsi="Arial" w:cs="Arial"/>
          <w:sz w:val="20"/>
          <w:szCs w:val="20"/>
        </w:rPr>
        <w:t xml:space="preserve">core </w:t>
      </w:r>
      <w:r w:rsidRPr="009B1765">
        <w:rPr>
          <w:rFonts w:ascii="Arial" w:hAnsi="Arial" w:cs="Arial"/>
          <w:sz w:val="20"/>
          <w:szCs w:val="20"/>
        </w:rPr>
        <w:t xml:space="preserve">6-inches from the </w:t>
      </w:r>
      <w:r w:rsidR="0093496F" w:rsidRPr="009B1765">
        <w:rPr>
          <w:rFonts w:ascii="Arial" w:hAnsi="Arial" w:cs="Arial"/>
          <w:sz w:val="20"/>
          <w:szCs w:val="20"/>
        </w:rPr>
        <w:t xml:space="preserve">final joint </w:t>
      </w:r>
      <w:r w:rsidRPr="009B1765">
        <w:rPr>
          <w:rFonts w:ascii="Arial" w:hAnsi="Arial" w:cs="Arial"/>
          <w:sz w:val="20"/>
          <w:szCs w:val="20"/>
        </w:rPr>
        <w:t xml:space="preserve">edge of the paving area. </w:t>
      </w:r>
      <w:r w:rsidR="00A80096" w:rsidRPr="009B1765">
        <w:rPr>
          <w:rFonts w:ascii="Arial" w:hAnsi="Arial" w:cs="Arial"/>
          <w:sz w:val="20"/>
          <w:szCs w:val="20"/>
        </w:rPr>
        <w:t>S</w:t>
      </w:r>
      <w:r w:rsidRPr="009B1765">
        <w:rPr>
          <w:rFonts w:ascii="Arial" w:hAnsi="Arial" w:cs="Arial"/>
          <w:sz w:val="20"/>
          <w:szCs w:val="20"/>
        </w:rPr>
        <w:t>ublot and lot numbering remain</w:t>
      </w:r>
      <w:r w:rsidR="00A80096" w:rsidRPr="009B1765">
        <w:rPr>
          <w:rFonts w:ascii="Arial" w:hAnsi="Arial" w:cs="Arial"/>
          <w:sz w:val="20"/>
          <w:szCs w:val="20"/>
        </w:rPr>
        <w:t>s</w:t>
      </w:r>
      <w:r w:rsidRPr="009B1765">
        <w:rPr>
          <w:rFonts w:ascii="Arial" w:hAnsi="Arial" w:cs="Arial"/>
          <w:sz w:val="20"/>
          <w:szCs w:val="20"/>
        </w:rPr>
        <w:t xml:space="preserve"> the same as mainline densities, however</w:t>
      </w:r>
      <w:r w:rsidR="00A80096" w:rsidRPr="009B1765">
        <w:rPr>
          <w:rFonts w:ascii="Arial" w:hAnsi="Arial" w:cs="Arial"/>
          <w:sz w:val="20"/>
          <w:szCs w:val="20"/>
        </w:rPr>
        <w:t>,</w:t>
      </w:r>
      <w:r w:rsidRPr="009B1765">
        <w:rPr>
          <w:rFonts w:ascii="Arial" w:hAnsi="Arial" w:cs="Arial"/>
          <w:sz w:val="20"/>
          <w:szCs w:val="20"/>
        </w:rPr>
        <w:t xml:space="preserve"> in addition to conventional naming, joint identification </w:t>
      </w:r>
      <w:r w:rsidR="00A80096" w:rsidRPr="009B1765">
        <w:rPr>
          <w:rFonts w:ascii="Arial" w:hAnsi="Arial" w:cs="Arial"/>
          <w:sz w:val="20"/>
          <w:szCs w:val="20"/>
        </w:rPr>
        <w:t xml:space="preserve">must </w:t>
      </w:r>
      <w:r w:rsidRPr="009B1765">
        <w:rPr>
          <w:rFonts w:ascii="Arial" w:hAnsi="Arial" w:cs="Arial"/>
          <w:sz w:val="20"/>
          <w:szCs w:val="20"/>
        </w:rPr>
        <w:t>clearly indicate “M” for inside/median side of lane or “</w:t>
      </w:r>
      <w:r w:rsidR="00EC3CB8" w:rsidRPr="009B1765">
        <w:rPr>
          <w:rFonts w:ascii="Arial" w:hAnsi="Arial" w:cs="Arial"/>
          <w:sz w:val="20"/>
          <w:szCs w:val="20"/>
        </w:rPr>
        <w:t>O</w:t>
      </w:r>
      <w:r w:rsidRPr="009B1765">
        <w:rPr>
          <w:rFonts w:ascii="Arial" w:hAnsi="Arial" w:cs="Arial"/>
          <w:sz w:val="20"/>
          <w:szCs w:val="20"/>
        </w:rPr>
        <w:t xml:space="preserve">” for outside </w:t>
      </w:r>
      <w:r w:rsidRPr="009B1765">
        <w:rPr>
          <w:rFonts w:ascii="Arial" w:hAnsi="Arial" w:cs="Arial"/>
          <w:sz w:val="20"/>
          <w:szCs w:val="20"/>
        </w:rPr>
        <w:lastRenderedPageBreak/>
        <w:t>shoulder side of lane, as well as “U” for an unconfined joint or “C” for a confined joint (e.g., XXXXX-MC or XXXXX-</w:t>
      </w:r>
      <w:r w:rsidR="00EC3CB8" w:rsidRPr="009B1765">
        <w:rPr>
          <w:rFonts w:ascii="Arial" w:hAnsi="Arial" w:cs="Arial"/>
          <w:sz w:val="20"/>
          <w:szCs w:val="20"/>
        </w:rPr>
        <w:t>O</w:t>
      </w:r>
      <w:r w:rsidRPr="009B1765">
        <w:rPr>
          <w:rFonts w:ascii="Arial" w:hAnsi="Arial" w:cs="Arial"/>
          <w:sz w:val="20"/>
          <w:szCs w:val="20"/>
        </w:rPr>
        <w:t>U).</w:t>
      </w:r>
    </w:p>
    <w:p w14:paraId="5732DA7F" w14:textId="05E7A883" w:rsidR="00541E74" w:rsidRPr="009B1765" w:rsidRDefault="00541E74" w:rsidP="00B640A4">
      <w:pPr>
        <w:pStyle w:val="ssParagraph"/>
        <w:tabs>
          <w:tab w:val="clear" w:pos="216"/>
          <w:tab w:val="clear" w:pos="288"/>
        </w:tabs>
        <w:spacing w:before="120" w:after="120"/>
        <w:ind w:left="270" w:hanging="180"/>
        <w:rPr>
          <w:rFonts w:eastAsiaTheme="minorHAnsi" w:cs="Arial"/>
        </w:rPr>
      </w:pPr>
      <w:r w:rsidRPr="009B1765">
        <w:rPr>
          <w:rFonts w:cs="Arial"/>
          <w:sz w:val="12"/>
          <w:szCs w:val="12"/>
        </w:rPr>
        <w:t>(6)</w:t>
      </w:r>
      <w:r w:rsidR="008C5D40" w:rsidRPr="009B1765">
        <w:rPr>
          <w:rFonts w:cs="Arial"/>
        </w:rPr>
        <w:tab/>
      </w:r>
      <w:r w:rsidRPr="009B1765">
        <w:rPr>
          <w:rFonts w:cs="Arial"/>
        </w:rPr>
        <w:t xml:space="preserve">Each joint </w:t>
      </w:r>
      <w:r w:rsidR="00A854AC">
        <w:rPr>
          <w:rFonts w:cs="Arial"/>
        </w:rPr>
        <w:t>shall</w:t>
      </w:r>
      <w:r w:rsidRPr="009B1765">
        <w:rPr>
          <w:rFonts w:cs="Arial"/>
        </w:rPr>
        <w:t xml:space="preserve"> be measured, reported, and accepted under methods</w:t>
      </w:r>
      <w:r w:rsidR="0093496F" w:rsidRPr="009B1765">
        <w:rPr>
          <w:rFonts w:cs="Arial"/>
        </w:rPr>
        <w:t>, testing times,</w:t>
      </w:r>
      <w:r w:rsidRPr="009B1765">
        <w:rPr>
          <w:rFonts w:cs="Arial"/>
        </w:rPr>
        <w:t xml:space="preserve"> and procedures consistent with the program employed for mainline density, i.e., PWL.</w:t>
      </w:r>
    </w:p>
    <w:p w14:paraId="54F51A6B" w14:textId="15832D68" w:rsidR="00541E74" w:rsidRPr="00B74A80" w:rsidRDefault="00541E74" w:rsidP="00B640A4">
      <w:pPr>
        <w:autoSpaceDE w:val="0"/>
        <w:autoSpaceDN w:val="0"/>
        <w:adjustRightInd w:val="0"/>
        <w:spacing w:before="120" w:after="120" w:line="240" w:lineRule="auto"/>
        <w:ind w:left="270" w:hanging="180"/>
        <w:rPr>
          <w:rFonts w:ascii="Arial" w:hAnsi="Arial" w:cs="Arial"/>
          <w:sz w:val="20"/>
          <w:szCs w:val="20"/>
        </w:rPr>
      </w:pPr>
      <w:r w:rsidRPr="009B1765">
        <w:rPr>
          <w:rFonts w:ascii="Arial" w:hAnsi="Arial" w:cs="Arial"/>
          <w:sz w:val="12"/>
          <w:szCs w:val="12"/>
        </w:rPr>
        <w:t>(7)</w:t>
      </w:r>
      <w:r w:rsidR="008C5D40" w:rsidRPr="009B1765">
        <w:rPr>
          <w:rFonts w:ascii="Arial" w:hAnsi="Arial" w:cs="Arial"/>
        </w:rPr>
        <w:tab/>
      </w:r>
      <w:r w:rsidRPr="009B1765">
        <w:rPr>
          <w:rFonts w:ascii="Arial" w:hAnsi="Arial" w:cs="Arial"/>
          <w:color w:val="000000"/>
          <w:sz w:val="20"/>
          <w:szCs w:val="20"/>
        </w:rPr>
        <w:t>For single density test results greater than 3.0% below specified minimums</w:t>
      </w:r>
      <w:r w:rsidR="003B774C" w:rsidRPr="009B1765">
        <w:rPr>
          <w:rFonts w:ascii="Arial" w:hAnsi="Arial" w:cs="Arial"/>
          <w:color w:val="000000"/>
          <w:sz w:val="20"/>
          <w:szCs w:val="20"/>
        </w:rPr>
        <w:t xml:space="preserve"> </w:t>
      </w:r>
      <w:r w:rsidRPr="009B1765">
        <w:rPr>
          <w:rFonts w:ascii="Arial" w:hAnsi="Arial" w:cs="Arial"/>
          <w:sz w:val="20"/>
          <w:szCs w:val="20"/>
        </w:rPr>
        <w:t xml:space="preserve">per </w:t>
      </w:r>
      <w:r w:rsidR="003B774C" w:rsidRPr="009B1765">
        <w:rPr>
          <w:rFonts w:ascii="Arial" w:hAnsi="Arial" w:cs="Arial"/>
          <w:sz w:val="20"/>
          <w:szCs w:val="20"/>
        </w:rPr>
        <w:t>Table B-1 herein, perform the following</w:t>
      </w:r>
      <w:r w:rsidRPr="009B1765">
        <w:rPr>
          <w:rFonts w:ascii="Arial" w:hAnsi="Arial" w:cs="Arial"/>
          <w:sz w:val="20"/>
          <w:szCs w:val="20"/>
        </w:rPr>
        <w:t>:</w:t>
      </w:r>
    </w:p>
    <w:p w14:paraId="4F2E60C2" w14:textId="28C51EE2" w:rsidR="00541E74" w:rsidRPr="00B640A4" w:rsidRDefault="00541E74" w:rsidP="00B640A4">
      <w:pPr>
        <w:pStyle w:val="ListParagraph"/>
        <w:numPr>
          <w:ilvl w:val="0"/>
          <w:numId w:val="44"/>
        </w:numPr>
        <w:spacing w:before="120" w:after="120"/>
        <w:rPr>
          <w:rFonts w:ascii="Arial" w:hAnsi="Arial" w:cs="Arial"/>
          <w:sz w:val="20"/>
          <w:szCs w:val="20"/>
        </w:rPr>
      </w:pPr>
      <w:r w:rsidRPr="00B640A4">
        <w:rPr>
          <w:rFonts w:ascii="Arial" w:hAnsi="Arial" w:cs="Arial"/>
          <w:sz w:val="20"/>
          <w:szCs w:val="20"/>
        </w:rPr>
        <w:t>Testing at 50</w:t>
      </w:r>
      <w:r w:rsidR="00D253F1" w:rsidRPr="00B640A4">
        <w:rPr>
          <w:rFonts w:ascii="Arial" w:hAnsi="Arial" w:cs="Arial"/>
          <w:sz w:val="20"/>
          <w:szCs w:val="20"/>
        </w:rPr>
        <w:t>-</w:t>
      </w:r>
      <w:r w:rsidRPr="00B640A4">
        <w:rPr>
          <w:rFonts w:ascii="Arial" w:hAnsi="Arial" w:cs="Arial"/>
          <w:sz w:val="20"/>
          <w:szCs w:val="20"/>
        </w:rPr>
        <w:t>foot increments both ahead and behind the unacceptable site</w:t>
      </w:r>
    </w:p>
    <w:p w14:paraId="4142E0EC" w14:textId="2D3E8477" w:rsidR="00541E74" w:rsidRPr="00B640A4" w:rsidRDefault="00541E74" w:rsidP="00B640A4">
      <w:pPr>
        <w:pStyle w:val="ListParagraph"/>
        <w:numPr>
          <w:ilvl w:val="0"/>
          <w:numId w:val="44"/>
        </w:numPr>
        <w:spacing w:before="120" w:after="120"/>
        <w:rPr>
          <w:rFonts w:ascii="Arial" w:hAnsi="Arial" w:cs="Arial"/>
          <w:sz w:val="20"/>
          <w:szCs w:val="20"/>
        </w:rPr>
      </w:pPr>
      <w:r w:rsidRPr="00B640A4">
        <w:rPr>
          <w:rFonts w:ascii="Arial" w:hAnsi="Arial" w:cs="Arial"/>
          <w:sz w:val="20"/>
          <w:szCs w:val="20"/>
        </w:rPr>
        <w:t>Continued 50</w:t>
      </w:r>
      <w:r w:rsidR="00D253F1" w:rsidRPr="00B640A4">
        <w:rPr>
          <w:rFonts w:ascii="Arial" w:hAnsi="Arial" w:cs="Arial"/>
          <w:sz w:val="20"/>
          <w:szCs w:val="20"/>
        </w:rPr>
        <w:t>-</w:t>
      </w:r>
      <w:r w:rsidRPr="00B640A4">
        <w:rPr>
          <w:rFonts w:ascii="Arial" w:hAnsi="Arial" w:cs="Arial"/>
          <w:sz w:val="20"/>
          <w:szCs w:val="20"/>
        </w:rPr>
        <w:t>foot incremental testing until test values indicate higher than or equal to -3.0 percent from target joint density.</w:t>
      </w:r>
    </w:p>
    <w:p w14:paraId="3DBB8D89" w14:textId="7A0C79B7" w:rsidR="00541E74" w:rsidRPr="00B640A4" w:rsidRDefault="00541E74" w:rsidP="00B640A4">
      <w:pPr>
        <w:pStyle w:val="ListParagraph"/>
        <w:numPr>
          <w:ilvl w:val="0"/>
          <w:numId w:val="44"/>
        </w:numPr>
        <w:spacing w:before="120" w:after="120"/>
        <w:rPr>
          <w:rFonts w:ascii="Arial" w:hAnsi="Arial" w:cs="Arial"/>
          <w:sz w:val="20"/>
          <w:szCs w:val="20"/>
        </w:rPr>
      </w:pPr>
      <w:r w:rsidRPr="00B640A4">
        <w:rPr>
          <w:rFonts w:ascii="Arial" w:hAnsi="Arial" w:cs="Arial"/>
          <w:sz w:val="20"/>
          <w:szCs w:val="20"/>
        </w:rPr>
        <w:t xml:space="preserve">Materials within the incremental testing indicating lower than -3.0 percent from target joint density are defined as </w:t>
      </w:r>
      <w:r w:rsidR="004A0744" w:rsidRPr="00B640A4">
        <w:rPr>
          <w:rFonts w:ascii="Arial" w:hAnsi="Arial" w:cs="Arial"/>
          <w:sz w:val="20"/>
          <w:szCs w:val="20"/>
        </w:rPr>
        <w:t>unacceptable and</w:t>
      </w:r>
      <w:r w:rsidRPr="00B640A4">
        <w:rPr>
          <w:rFonts w:ascii="Arial" w:hAnsi="Arial" w:cs="Arial"/>
          <w:sz w:val="20"/>
          <w:szCs w:val="20"/>
        </w:rPr>
        <w:t xml:space="preserve"> will be handled with remedial action as defined in the payment section of this document.</w:t>
      </w:r>
    </w:p>
    <w:p w14:paraId="5F318567" w14:textId="186E3E67" w:rsidR="00541E74" w:rsidRPr="00B640A4" w:rsidRDefault="00541E74" w:rsidP="00B640A4">
      <w:pPr>
        <w:pStyle w:val="ListParagraph"/>
        <w:numPr>
          <w:ilvl w:val="0"/>
          <w:numId w:val="44"/>
        </w:numPr>
        <w:spacing w:before="120" w:after="120"/>
        <w:rPr>
          <w:rFonts w:ascii="Arial" w:hAnsi="Arial" w:cs="Arial"/>
          <w:sz w:val="20"/>
          <w:szCs w:val="20"/>
        </w:rPr>
      </w:pPr>
      <w:r w:rsidRPr="00B640A4">
        <w:rPr>
          <w:rFonts w:ascii="Arial" w:hAnsi="Arial" w:cs="Arial"/>
          <w:sz w:val="20"/>
          <w:szCs w:val="20"/>
        </w:rPr>
        <w:t xml:space="preserve">The remaining sublot average (exclusive of unacceptable material) will be determined by the first forward and backward </w:t>
      </w:r>
      <w:r w:rsidR="009A4641" w:rsidRPr="00B640A4">
        <w:rPr>
          <w:rFonts w:ascii="Arial" w:hAnsi="Arial" w:cs="Arial"/>
          <w:sz w:val="20"/>
          <w:szCs w:val="20"/>
        </w:rPr>
        <w:t>50-foot</w:t>
      </w:r>
      <w:r w:rsidRPr="00B640A4">
        <w:rPr>
          <w:rFonts w:ascii="Arial" w:hAnsi="Arial" w:cs="Arial"/>
          <w:sz w:val="20"/>
          <w:szCs w:val="20"/>
        </w:rPr>
        <w:t xml:space="preserve"> incremental tests that reach the criteria of higher than or equal to -3.0 percent from target joint density.</w:t>
      </w:r>
    </w:p>
    <w:p w14:paraId="31790E4D" w14:textId="7474255F" w:rsidR="00541E74" w:rsidRPr="0071613F" w:rsidRDefault="00541E74" w:rsidP="00B640A4">
      <w:pPr>
        <w:autoSpaceDE w:val="0"/>
        <w:autoSpaceDN w:val="0"/>
        <w:adjustRightInd w:val="0"/>
        <w:spacing w:before="120" w:after="120" w:line="240" w:lineRule="auto"/>
        <w:ind w:left="270"/>
        <w:rPr>
          <w:rFonts w:ascii="Arial" w:hAnsi="Arial" w:cs="Arial"/>
        </w:rPr>
      </w:pPr>
      <w:r w:rsidRPr="0071613F">
        <w:rPr>
          <w:rFonts w:ascii="Arial" w:hAnsi="Arial" w:cs="Arial"/>
          <w:color w:val="000000"/>
          <w:sz w:val="20"/>
          <w:szCs w:val="20"/>
        </w:rPr>
        <w:t>Note: If the 50</w:t>
      </w:r>
      <w:r w:rsidR="00D253F1" w:rsidRPr="0071613F">
        <w:rPr>
          <w:rFonts w:ascii="Arial" w:hAnsi="Arial" w:cs="Arial"/>
          <w:color w:val="000000"/>
          <w:sz w:val="20"/>
          <w:szCs w:val="20"/>
        </w:rPr>
        <w:t>-</w:t>
      </w:r>
      <w:r w:rsidRPr="0071613F">
        <w:rPr>
          <w:rFonts w:ascii="Arial" w:hAnsi="Arial" w:cs="Arial"/>
          <w:color w:val="000000"/>
          <w:sz w:val="20"/>
          <w:szCs w:val="20"/>
        </w:rPr>
        <w:t xml:space="preserve">foot testing extends into a previously accepted sublot, remedial action is required up to and inclusive of such material; however, the results of remedial action must not be used to recalculate the previously accepted sublot density. When this occurs, the </w:t>
      </w:r>
      <w:r w:rsidR="0093496F" w:rsidRPr="0071613F">
        <w:rPr>
          <w:rFonts w:ascii="Arial" w:hAnsi="Arial" w:cs="Arial"/>
          <w:color w:val="000000"/>
          <w:sz w:val="20"/>
          <w:szCs w:val="20"/>
        </w:rPr>
        <w:t xml:space="preserve">lane feet </w:t>
      </w:r>
      <w:r w:rsidRPr="0071613F">
        <w:rPr>
          <w:rFonts w:ascii="Arial" w:hAnsi="Arial" w:cs="Arial"/>
          <w:color w:val="000000"/>
          <w:sz w:val="20"/>
          <w:szCs w:val="20"/>
        </w:rPr>
        <w:t xml:space="preserve">of any unacceptable material will be deducted from the sublot in which it is located, and the previously accepted sublot density will be used to calculate pay for the remainder of the sublot. </w:t>
      </w:r>
    </w:p>
    <w:p w14:paraId="0C267745" w14:textId="147D1436" w:rsidR="00541E74" w:rsidRPr="0071613F" w:rsidRDefault="00541E74" w:rsidP="00B640A4">
      <w:pPr>
        <w:pStyle w:val="ssParagraph"/>
        <w:tabs>
          <w:tab w:val="clear" w:pos="216"/>
          <w:tab w:val="clear" w:pos="288"/>
        </w:tabs>
        <w:spacing w:before="120" w:after="120"/>
        <w:ind w:left="270" w:hanging="270"/>
        <w:rPr>
          <w:rFonts w:cs="Arial"/>
        </w:rPr>
      </w:pPr>
      <w:r w:rsidRPr="0071613F">
        <w:rPr>
          <w:rFonts w:cs="Arial"/>
          <w:sz w:val="12"/>
          <w:szCs w:val="12"/>
        </w:rPr>
        <w:t>(</w:t>
      </w:r>
      <w:r w:rsidR="00EC3CB8" w:rsidRPr="0071613F">
        <w:rPr>
          <w:rFonts w:cs="Arial"/>
          <w:sz w:val="12"/>
          <w:szCs w:val="12"/>
        </w:rPr>
        <w:t>8</w:t>
      </w:r>
      <w:r w:rsidRPr="0071613F">
        <w:rPr>
          <w:rFonts w:cs="Arial"/>
          <w:sz w:val="12"/>
          <w:szCs w:val="12"/>
        </w:rPr>
        <w:t>)</w:t>
      </w:r>
      <w:r w:rsidR="00583991" w:rsidRPr="0071613F">
        <w:rPr>
          <w:rFonts w:cs="Arial"/>
          <w:sz w:val="12"/>
          <w:szCs w:val="12"/>
        </w:rPr>
        <w:tab/>
      </w:r>
      <w:r w:rsidRPr="0071613F">
        <w:rPr>
          <w:rFonts w:cs="Arial"/>
        </w:rPr>
        <w:t xml:space="preserve">Joint density measurements </w:t>
      </w:r>
      <w:r w:rsidR="00A854AC">
        <w:rPr>
          <w:rFonts w:cs="Arial"/>
        </w:rPr>
        <w:t>shall</w:t>
      </w:r>
      <w:r w:rsidRPr="0071613F">
        <w:rPr>
          <w:rFonts w:cs="Arial"/>
        </w:rPr>
        <w:t xml:space="preserve"> be </w:t>
      </w:r>
      <w:r w:rsidR="0037264D">
        <w:rPr>
          <w:rFonts w:cs="Arial"/>
        </w:rPr>
        <w:t>recorded in the HMA PWL Production Spreadsheet</w:t>
      </w:r>
      <w:r w:rsidRPr="0071613F">
        <w:rPr>
          <w:rFonts w:cs="Arial"/>
        </w:rPr>
        <w:t>.</w:t>
      </w:r>
    </w:p>
    <w:p w14:paraId="4A8F9F7B" w14:textId="5A1E705B" w:rsidR="00F67282" w:rsidRPr="009B1765" w:rsidRDefault="0093496F" w:rsidP="00B640A4">
      <w:pPr>
        <w:pStyle w:val="ssParagraph"/>
        <w:tabs>
          <w:tab w:val="clear" w:pos="216"/>
          <w:tab w:val="clear" w:pos="288"/>
        </w:tabs>
        <w:spacing w:before="120" w:after="120"/>
        <w:ind w:left="270" w:hanging="270"/>
        <w:rPr>
          <w:rFonts w:cs="Arial"/>
        </w:rPr>
      </w:pPr>
      <w:r w:rsidRPr="0071613F">
        <w:rPr>
          <w:rFonts w:cs="Arial"/>
          <w:sz w:val="12"/>
          <w:szCs w:val="12"/>
        </w:rPr>
        <w:t>(9)</w:t>
      </w:r>
      <w:r w:rsidR="00583991" w:rsidRPr="0071613F">
        <w:rPr>
          <w:rFonts w:cs="Arial"/>
          <w:sz w:val="12"/>
          <w:szCs w:val="12"/>
        </w:rPr>
        <w:tab/>
      </w:r>
      <w:r w:rsidRPr="0071613F">
        <w:rPr>
          <w:rFonts w:cs="Arial"/>
        </w:rPr>
        <w:t xml:space="preserve">Placement and removal of excess material outside of the final joint edge, </w:t>
      </w:r>
      <w:r w:rsidR="008048EB" w:rsidRPr="0071613F">
        <w:rPr>
          <w:rFonts w:cs="Arial"/>
        </w:rPr>
        <w:t>to</w:t>
      </w:r>
      <w:r w:rsidRPr="0071613F">
        <w:rPr>
          <w:rFonts w:cs="Arial"/>
        </w:rPr>
        <w:t xml:space="preserve"> increase joint density at the longitudinal joint testing location, </w:t>
      </w:r>
      <w:r w:rsidR="00A854AC">
        <w:rPr>
          <w:rFonts w:cs="Arial"/>
        </w:rPr>
        <w:t>shall</w:t>
      </w:r>
      <w:r w:rsidRPr="0071613F">
        <w:rPr>
          <w:rFonts w:cs="Arial"/>
        </w:rPr>
        <w:t xml:space="preserve"> be </w:t>
      </w:r>
      <w:r w:rsidR="00486EDD" w:rsidRPr="0071613F">
        <w:rPr>
          <w:rFonts w:cs="Arial"/>
        </w:rPr>
        <w:t xml:space="preserve">done at </w:t>
      </w:r>
      <w:r w:rsidRPr="0071613F">
        <w:rPr>
          <w:rFonts w:cs="Arial"/>
        </w:rPr>
        <w:t xml:space="preserve">the contractor’s </w:t>
      </w:r>
      <w:r w:rsidR="00486EDD" w:rsidRPr="0071613F">
        <w:rPr>
          <w:rFonts w:cs="Arial"/>
        </w:rPr>
        <w:t>discretion and cost</w:t>
      </w:r>
      <w:r w:rsidRPr="0071613F">
        <w:rPr>
          <w:rFonts w:cs="Arial"/>
        </w:rPr>
        <w:t xml:space="preserve">. This </w:t>
      </w:r>
      <w:r w:rsidR="009D54A0" w:rsidRPr="009B1765">
        <w:rPr>
          <w:rFonts w:cs="Arial"/>
        </w:rPr>
        <w:t xml:space="preserve">excess </w:t>
      </w:r>
      <w:r w:rsidRPr="009B1765">
        <w:rPr>
          <w:rFonts w:cs="Arial"/>
        </w:rPr>
        <w:t xml:space="preserve">material </w:t>
      </w:r>
      <w:r w:rsidR="00A336F1" w:rsidRPr="009B1765">
        <w:rPr>
          <w:rFonts w:cs="Arial"/>
        </w:rPr>
        <w:t xml:space="preserve">and </w:t>
      </w:r>
      <w:r w:rsidR="009D54A0" w:rsidRPr="009B1765">
        <w:rPr>
          <w:rFonts w:cs="Arial"/>
        </w:rPr>
        <w:t xml:space="preserve">related </w:t>
      </w:r>
      <w:r w:rsidR="00A336F1" w:rsidRPr="009B1765">
        <w:rPr>
          <w:rFonts w:cs="Arial"/>
        </w:rPr>
        <w:t xml:space="preserve">labor </w:t>
      </w:r>
      <w:r w:rsidR="00486EDD" w:rsidRPr="009B1765">
        <w:rPr>
          <w:rFonts w:cs="Arial"/>
        </w:rPr>
        <w:t>will</w:t>
      </w:r>
      <w:r w:rsidRPr="009B1765">
        <w:rPr>
          <w:rFonts w:cs="Arial"/>
        </w:rPr>
        <w:t xml:space="preserve"> be considered waste and </w:t>
      </w:r>
      <w:r w:rsidR="009D54A0" w:rsidRPr="009B1765">
        <w:rPr>
          <w:rFonts w:cs="Arial"/>
        </w:rPr>
        <w:t xml:space="preserve">will </w:t>
      </w:r>
      <w:r w:rsidRPr="009B1765">
        <w:rPr>
          <w:rFonts w:cs="Arial"/>
        </w:rPr>
        <w:t xml:space="preserve">not </w:t>
      </w:r>
      <w:r w:rsidR="009D54A0" w:rsidRPr="009B1765">
        <w:rPr>
          <w:rFonts w:cs="Arial"/>
        </w:rPr>
        <w:t>be paid for by</w:t>
      </w:r>
      <w:r w:rsidRPr="009B1765">
        <w:rPr>
          <w:rFonts w:cs="Arial"/>
        </w:rPr>
        <w:t xml:space="preserve"> the </w:t>
      </w:r>
      <w:r w:rsidR="008048EB" w:rsidRPr="009B1765">
        <w:rPr>
          <w:rFonts w:cs="Arial"/>
        </w:rPr>
        <w:t>department</w:t>
      </w:r>
      <w:r w:rsidRPr="009B1765">
        <w:rPr>
          <w:rFonts w:cs="Arial"/>
        </w:rPr>
        <w:t>.</w:t>
      </w:r>
      <w:r w:rsidR="00DB01BA" w:rsidRPr="009B1765">
        <w:rPr>
          <w:rFonts w:cs="Arial"/>
        </w:rPr>
        <w:t xml:space="preserve"> Joints </w:t>
      </w:r>
      <w:r w:rsidR="00EF5752" w:rsidRPr="009B1765">
        <w:rPr>
          <w:rFonts w:cs="Arial"/>
        </w:rPr>
        <w:t xml:space="preserve">with excess material placed outside of the final joint edge to increase joint density or where a notched wedge is used will be </w:t>
      </w:r>
      <w:r w:rsidR="00A861B5" w:rsidRPr="009B1765">
        <w:rPr>
          <w:rFonts w:cs="Arial"/>
        </w:rPr>
        <w:t>considered</w:t>
      </w:r>
      <w:r w:rsidR="00EF5752" w:rsidRPr="009B1765">
        <w:rPr>
          <w:rFonts w:cs="Arial"/>
        </w:rPr>
        <w:t xml:space="preserve"> unconfined joints.</w:t>
      </w:r>
      <w:r w:rsidR="00365732" w:rsidRPr="009B1765">
        <w:rPr>
          <w:rFonts w:cs="Arial"/>
        </w:rPr>
        <w:t xml:space="preserve"> </w:t>
      </w:r>
    </w:p>
    <w:p w14:paraId="704A93CE" w14:textId="6684F431" w:rsidR="0093496F" w:rsidRPr="00830D3B" w:rsidRDefault="00F67282" w:rsidP="00B640A4">
      <w:pPr>
        <w:pStyle w:val="ssParagraph"/>
        <w:tabs>
          <w:tab w:val="clear" w:pos="216"/>
          <w:tab w:val="clear" w:pos="288"/>
        </w:tabs>
        <w:spacing w:before="120" w:after="120"/>
        <w:ind w:left="270" w:hanging="270"/>
        <w:rPr>
          <w:rFonts w:cs="Arial"/>
        </w:rPr>
      </w:pPr>
      <w:r w:rsidRPr="009B1765">
        <w:rPr>
          <w:rFonts w:cs="Arial"/>
          <w:sz w:val="12"/>
          <w:szCs w:val="12"/>
        </w:rPr>
        <w:t>(</w:t>
      </w:r>
      <w:r w:rsidR="00D259E9" w:rsidRPr="009B1765">
        <w:rPr>
          <w:rFonts w:cs="Arial"/>
          <w:sz w:val="12"/>
          <w:szCs w:val="12"/>
        </w:rPr>
        <w:t>10</w:t>
      </w:r>
      <w:r w:rsidRPr="009B1765">
        <w:rPr>
          <w:rFonts w:cs="Arial"/>
          <w:sz w:val="12"/>
          <w:szCs w:val="12"/>
        </w:rPr>
        <w:t>)</w:t>
      </w:r>
      <w:r w:rsidR="008C5D40" w:rsidRPr="009B1765">
        <w:rPr>
          <w:rFonts w:cs="Arial"/>
          <w:sz w:val="12"/>
          <w:szCs w:val="12"/>
        </w:rPr>
        <w:tab/>
      </w:r>
      <w:r w:rsidR="00734FD6" w:rsidRPr="009B1765">
        <w:rPr>
          <w:rFonts w:cs="Arial"/>
        </w:rPr>
        <w:t xml:space="preserve">When not required by the </w:t>
      </w:r>
      <w:r w:rsidR="004070D4" w:rsidRPr="009B1765">
        <w:rPr>
          <w:rFonts w:cs="Arial"/>
        </w:rPr>
        <w:t>contract</w:t>
      </w:r>
      <w:r w:rsidR="00734FD6" w:rsidRPr="009B1765">
        <w:rPr>
          <w:rFonts w:cs="Arial"/>
        </w:rPr>
        <w:t>,</w:t>
      </w:r>
      <w:r w:rsidR="00734FD6" w:rsidRPr="009B1765">
        <w:rPr>
          <w:rFonts w:cs="Arial"/>
          <w:color w:val="FF0000"/>
        </w:rPr>
        <w:t xml:space="preserve"> </w:t>
      </w:r>
      <w:r w:rsidR="00734FD6" w:rsidRPr="009B1765">
        <w:rPr>
          <w:rFonts w:cs="Arial"/>
        </w:rPr>
        <w:t>e</w:t>
      </w:r>
      <w:r w:rsidR="00A861B5" w:rsidRPr="009B1765">
        <w:rPr>
          <w:rFonts w:cs="Arial"/>
        </w:rPr>
        <w:t xml:space="preserve">chelon paving </w:t>
      </w:r>
      <w:r w:rsidR="00941AD5" w:rsidRPr="009B1765">
        <w:rPr>
          <w:rFonts w:cs="Arial"/>
        </w:rPr>
        <w:t>may be</w:t>
      </w:r>
      <w:r w:rsidR="00A861B5" w:rsidRPr="009B1765">
        <w:rPr>
          <w:rFonts w:cs="Arial"/>
        </w:rPr>
        <w:t xml:space="preserve"> performed at the contractor’s </w:t>
      </w:r>
      <w:r w:rsidR="00E9659F" w:rsidRPr="009B1765">
        <w:rPr>
          <w:rFonts w:cs="Arial"/>
        </w:rPr>
        <w:t>discretion</w:t>
      </w:r>
      <w:r w:rsidR="00A861B5" w:rsidRPr="009B1765">
        <w:rPr>
          <w:rFonts w:cs="Arial"/>
        </w:rPr>
        <w:t xml:space="preserve"> to increase longitudinal joint density</w:t>
      </w:r>
      <w:r w:rsidR="00EC2394" w:rsidRPr="009B1765">
        <w:rPr>
          <w:rFonts w:cs="Arial"/>
          <w:color w:val="FF0000"/>
        </w:rPr>
        <w:t xml:space="preserve"> </w:t>
      </w:r>
      <w:r w:rsidR="00EC2394" w:rsidRPr="009B1765">
        <w:rPr>
          <w:rFonts w:cs="Arial"/>
        </w:rPr>
        <w:t>and still remain eligible to earn incentive</w:t>
      </w:r>
      <w:r w:rsidR="00941AD5" w:rsidRPr="009B1765">
        <w:rPr>
          <w:rFonts w:cs="Arial"/>
        </w:rPr>
        <w:t>. The</w:t>
      </w:r>
      <w:r w:rsidR="0009744A" w:rsidRPr="009B1765">
        <w:rPr>
          <w:rFonts w:cs="Arial"/>
        </w:rPr>
        <w:t xml:space="preserve"> additional </w:t>
      </w:r>
      <w:r w:rsidR="00347A5E" w:rsidRPr="009B1765">
        <w:rPr>
          <w:rFonts w:cs="Arial"/>
        </w:rPr>
        <w:t>cost</w:t>
      </w:r>
      <w:r w:rsidR="00941AD5" w:rsidRPr="009B1765">
        <w:rPr>
          <w:rFonts w:cs="Arial"/>
        </w:rPr>
        <w:t>s incurred</w:t>
      </w:r>
      <w:r w:rsidR="0009744A" w:rsidRPr="009B1765">
        <w:rPr>
          <w:rFonts w:cs="Arial"/>
        </w:rPr>
        <w:t xml:space="preserve"> related to echelon paving will </w:t>
      </w:r>
      <w:r w:rsidR="005C68B7" w:rsidRPr="009B1765">
        <w:rPr>
          <w:rFonts w:cs="Arial"/>
        </w:rPr>
        <w:t>not be paid for by the department</w:t>
      </w:r>
      <w:r w:rsidR="0009744A" w:rsidRPr="009B1765">
        <w:rPr>
          <w:rFonts w:cs="Arial"/>
        </w:rPr>
        <w:t>.</w:t>
      </w:r>
      <w:r w:rsidR="00BC46D7" w:rsidRPr="009B1765">
        <w:rPr>
          <w:color w:val="FF0000"/>
        </w:rPr>
        <w:t xml:space="preserve"> </w:t>
      </w:r>
      <w:r w:rsidR="00BC46D7" w:rsidRPr="009B1765">
        <w:t xml:space="preserve">If lanes are paved in echelon, the contractor may choose to use a longitudinal vertical joint or notched wedge longitudinal joint as described in </w:t>
      </w:r>
      <w:r w:rsidR="00BC46D7" w:rsidRPr="009B1765">
        <w:rPr>
          <w:rStyle w:val="ssFutureLink"/>
          <w:color w:val="auto"/>
        </w:rPr>
        <w:t>SDD 13c19</w:t>
      </w:r>
      <w:r w:rsidR="009B1765" w:rsidRPr="009B1765">
        <w:rPr>
          <w:rStyle w:val="ssFutureLink"/>
          <w:color w:val="auto"/>
        </w:rPr>
        <w:t xml:space="preserve"> HMA Longitudinal Joints</w:t>
      </w:r>
      <w:r w:rsidR="00BC46D7" w:rsidRPr="009B1765">
        <w:t xml:space="preserve">. Lanes paved in echelon </w:t>
      </w:r>
      <w:r w:rsidR="00A854AC">
        <w:t>will</w:t>
      </w:r>
      <w:r w:rsidR="00BC46D7" w:rsidRPr="009B1765">
        <w:t xml:space="preserve"> be considered confined on both sides of the joint regardless of the selected joint design.</w:t>
      </w:r>
      <w:r w:rsidR="0009744A" w:rsidRPr="009B1765">
        <w:rPr>
          <w:rFonts w:cs="Arial"/>
        </w:rPr>
        <w:t xml:space="preserve"> </w:t>
      </w:r>
      <w:r w:rsidR="00A854AC">
        <w:rPr>
          <w:rFonts w:cs="Arial"/>
        </w:rPr>
        <w:t>Place the</w:t>
      </w:r>
      <w:r w:rsidR="00A861B5" w:rsidRPr="009B1765">
        <w:rPr>
          <w:rFonts w:cs="Arial"/>
        </w:rPr>
        <w:t xml:space="preserve"> joint between </w:t>
      </w:r>
      <w:r w:rsidR="0009744A" w:rsidRPr="009B1765">
        <w:rPr>
          <w:rFonts w:cs="Arial"/>
        </w:rPr>
        <w:t xml:space="preserve">echelon </w:t>
      </w:r>
      <w:r w:rsidR="00A861B5" w:rsidRPr="009B1765">
        <w:rPr>
          <w:rFonts w:cs="Arial"/>
        </w:rPr>
        <w:t>pav</w:t>
      </w:r>
      <w:r w:rsidR="00941AD5" w:rsidRPr="009B1765">
        <w:rPr>
          <w:rFonts w:cs="Arial"/>
        </w:rPr>
        <w:t>ed</w:t>
      </w:r>
      <w:r w:rsidR="00A861B5" w:rsidRPr="009B1765">
        <w:rPr>
          <w:rFonts w:cs="Arial"/>
        </w:rPr>
        <w:t xml:space="preserve"> lanes at the</w:t>
      </w:r>
      <w:r w:rsidR="00BC46D7" w:rsidRPr="009B1765">
        <w:rPr>
          <w:rFonts w:cs="Arial"/>
        </w:rPr>
        <w:t xml:space="preserve"> centerline or</w:t>
      </w:r>
      <w:r w:rsidR="00A73BCD" w:rsidRPr="009B1765">
        <w:rPr>
          <w:rFonts w:cs="Arial"/>
        </w:rPr>
        <w:t xml:space="preserve"> along</w:t>
      </w:r>
      <w:r w:rsidR="00A861B5" w:rsidRPr="009B1765">
        <w:rPr>
          <w:rFonts w:cs="Arial"/>
        </w:rPr>
        <w:t xml:space="preserve"> </w:t>
      </w:r>
      <w:r w:rsidR="009F62CB" w:rsidRPr="009B1765">
        <w:rPr>
          <w:rFonts w:cs="Arial"/>
        </w:rPr>
        <w:t>lane line</w:t>
      </w:r>
      <w:r w:rsidR="00A73BCD" w:rsidRPr="009B1765">
        <w:rPr>
          <w:rFonts w:cs="Arial"/>
        </w:rPr>
        <w:t>s</w:t>
      </w:r>
      <w:r w:rsidR="00BC46D7" w:rsidRPr="009B1765">
        <w:rPr>
          <w:rFonts w:cs="Arial"/>
        </w:rPr>
        <w:t>.</w:t>
      </w:r>
    </w:p>
    <w:p w14:paraId="50C2510B" w14:textId="2F072E6D" w:rsidR="00D76EE4" w:rsidRPr="009B1765" w:rsidRDefault="00D76EE4" w:rsidP="00B640A4">
      <w:pPr>
        <w:pStyle w:val="wiParagraph"/>
        <w:spacing w:before="120" w:after="120"/>
      </w:pPr>
      <w:r w:rsidRPr="00747AA9">
        <w:rPr>
          <w:rFonts w:cs="Arial"/>
          <w:sz w:val="12"/>
          <w:szCs w:val="12"/>
        </w:rPr>
        <w:t>(11)</w:t>
      </w:r>
      <w:r w:rsidRPr="00747AA9">
        <w:rPr>
          <w:rFonts w:cs="Arial"/>
          <w:sz w:val="12"/>
          <w:szCs w:val="12"/>
        </w:rPr>
        <w:tab/>
      </w:r>
      <w:r w:rsidR="004070D4" w:rsidRPr="00747AA9">
        <w:tab/>
        <w:t xml:space="preserve">When </w:t>
      </w:r>
      <w:r w:rsidR="004070D4" w:rsidRPr="009B1765">
        <w:t>performing inlay paving below the elevation of the adjacent lane, the longitudinal joint along the adjacent lane to be paved shall be considered unconfined.</w:t>
      </w:r>
    </w:p>
    <w:p w14:paraId="759EE287" w14:textId="6F14EBF0" w:rsidR="00913E9F" w:rsidRPr="009B1765" w:rsidRDefault="00913E9F" w:rsidP="00B640A4">
      <w:pPr>
        <w:spacing w:before="120" w:after="120"/>
        <w:rPr>
          <w:rFonts w:ascii="Arial" w:hAnsi="Arial" w:cs="Arial"/>
          <w:b/>
          <w:sz w:val="20"/>
          <w:szCs w:val="20"/>
        </w:rPr>
      </w:pPr>
      <w:proofErr w:type="gramStart"/>
      <w:r w:rsidRPr="009B1765">
        <w:rPr>
          <w:rFonts w:ascii="Arial" w:hAnsi="Arial" w:cs="Arial"/>
          <w:b/>
          <w:sz w:val="20"/>
          <w:szCs w:val="20"/>
        </w:rPr>
        <w:t>D  Measurement</w:t>
      </w:r>
      <w:proofErr w:type="gramEnd"/>
    </w:p>
    <w:p w14:paraId="6204BA3D" w14:textId="77777777" w:rsidR="008D65A5" w:rsidRDefault="008C5D40" w:rsidP="00B640A4">
      <w:pPr>
        <w:pStyle w:val="ssParagraph"/>
        <w:spacing w:before="120" w:after="120"/>
        <w:rPr>
          <w:rFonts w:cs="Arial"/>
          <w:b/>
        </w:rPr>
      </w:pPr>
      <w:r w:rsidRPr="009B1765">
        <w:rPr>
          <w:rFonts w:cs="Arial"/>
          <w:sz w:val="12"/>
          <w:szCs w:val="12"/>
        </w:rPr>
        <w:t>(1)</w:t>
      </w:r>
      <w:r w:rsidRPr="009B1765">
        <w:rPr>
          <w:rFonts w:cs="Arial"/>
          <w:sz w:val="12"/>
          <w:szCs w:val="12"/>
        </w:rPr>
        <w:tab/>
      </w:r>
      <w:r w:rsidR="002128F8" w:rsidRPr="009B1765">
        <w:rPr>
          <w:rFonts w:cs="Arial"/>
          <w:sz w:val="12"/>
          <w:szCs w:val="12"/>
        </w:rPr>
        <w:tab/>
      </w:r>
      <w:r w:rsidR="009C6D7C" w:rsidRPr="009B1765">
        <w:rPr>
          <w:rFonts w:cs="Arial"/>
        </w:rPr>
        <w:t xml:space="preserve">The department will measure </w:t>
      </w:r>
      <w:r w:rsidR="00535B1B" w:rsidRPr="009B1765">
        <w:rPr>
          <w:rFonts w:cs="Arial"/>
        </w:rPr>
        <w:t xml:space="preserve">each side of applicable </w:t>
      </w:r>
      <w:r w:rsidR="009C6D7C" w:rsidRPr="009B1765">
        <w:rPr>
          <w:rFonts w:cs="Arial"/>
        </w:rPr>
        <w:t>longitudinal joints</w:t>
      </w:r>
      <w:r w:rsidR="003E75A8" w:rsidRPr="009B1765">
        <w:rPr>
          <w:rFonts w:cs="Arial"/>
        </w:rPr>
        <w:t>,</w:t>
      </w:r>
      <w:r w:rsidR="009C6D7C" w:rsidRPr="009B1765">
        <w:rPr>
          <w:rFonts w:cs="Arial"/>
        </w:rPr>
        <w:t xml:space="preserve"> </w:t>
      </w:r>
      <w:r w:rsidR="00535B1B" w:rsidRPr="009B1765">
        <w:rPr>
          <w:rFonts w:cs="Arial"/>
        </w:rPr>
        <w:t>as defined in Section A of this special provision</w:t>
      </w:r>
      <w:r w:rsidR="003E75A8" w:rsidRPr="009B1765">
        <w:rPr>
          <w:rFonts w:cs="Arial"/>
        </w:rPr>
        <w:t>,</w:t>
      </w:r>
      <w:r w:rsidR="00535B1B" w:rsidRPr="009B1765">
        <w:rPr>
          <w:rFonts w:cs="Arial"/>
        </w:rPr>
        <w:t xml:space="preserve"> </w:t>
      </w:r>
      <w:r w:rsidR="009C6D7C" w:rsidRPr="009B1765">
        <w:rPr>
          <w:rFonts w:cs="Arial"/>
        </w:rPr>
        <w:t>by the linear foot</w:t>
      </w:r>
      <w:r w:rsidR="00340B2A" w:rsidRPr="009B1765">
        <w:rPr>
          <w:rFonts w:cs="Arial"/>
        </w:rPr>
        <w:t xml:space="preserve"> of pavement acceptably placed</w:t>
      </w:r>
      <w:r w:rsidR="009C6D7C" w:rsidRPr="009B1765">
        <w:rPr>
          <w:rFonts w:cs="Arial"/>
        </w:rPr>
        <w:t xml:space="preserve">. </w:t>
      </w:r>
      <w:r w:rsidR="00340B2A" w:rsidRPr="009B1765">
        <w:rPr>
          <w:rFonts w:cs="Arial"/>
        </w:rPr>
        <w:t>Measurement will be conducted independently for the inside or median side and for the outside or shoulder side of paving lanes with two a</w:t>
      </w:r>
      <w:r w:rsidR="00535B1B" w:rsidRPr="009B1765">
        <w:rPr>
          <w:rFonts w:cs="Arial"/>
        </w:rPr>
        <w:t xml:space="preserve">pplicable </w:t>
      </w:r>
      <w:r w:rsidR="00340B2A" w:rsidRPr="009B1765">
        <w:rPr>
          <w:rFonts w:cs="Arial"/>
        </w:rPr>
        <w:t>longitudinal joints. Each paving layer will be measured independently</w:t>
      </w:r>
      <w:r w:rsidR="00DD1426" w:rsidRPr="009B1765">
        <w:rPr>
          <w:rFonts w:cs="Arial"/>
        </w:rPr>
        <w:t xml:space="preserve"> at the time the mat is placed</w:t>
      </w:r>
      <w:r w:rsidR="00340B2A" w:rsidRPr="009B1765">
        <w:rPr>
          <w:rFonts w:cs="Arial"/>
        </w:rPr>
        <w:t>.</w:t>
      </w:r>
    </w:p>
    <w:p w14:paraId="4763D6F7" w14:textId="2ABAF98F" w:rsidR="00541E74" w:rsidRPr="008D65A5" w:rsidRDefault="00541E74" w:rsidP="00B640A4">
      <w:pPr>
        <w:pStyle w:val="ssParagraph"/>
        <w:spacing w:before="120" w:after="120"/>
        <w:rPr>
          <w:rFonts w:cs="Arial"/>
          <w:b/>
        </w:rPr>
      </w:pPr>
      <w:proofErr w:type="gramStart"/>
      <w:r w:rsidRPr="00D05EE5">
        <w:rPr>
          <w:rFonts w:cs="Arial"/>
          <w:b/>
        </w:rPr>
        <w:t>E  Payment</w:t>
      </w:r>
      <w:proofErr w:type="gramEnd"/>
    </w:p>
    <w:p w14:paraId="5C3A97BF" w14:textId="77777777" w:rsidR="00541E74" w:rsidRPr="00D05EE5" w:rsidRDefault="00541E74" w:rsidP="00B640A4">
      <w:pPr>
        <w:spacing w:before="120" w:after="120"/>
        <w:rPr>
          <w:rFonts w:ascii="Arial" w:hAnsi="Arial" w:cs="Arial"/>
          <w:i/>
          <w:sz w:val="20"/>
          <w:szCs w:val="20"/>
        </w:rPr>
      </w:pPr>
      <w:r w:rsidRPr="00D05EE5">
        <w:rPr>
          <w:rFonts w:ascii="Arial" w:hAnsi="Arial" w:cs="Arial"/>
          <w:i/>
          <w:sz w:val="20"/>
          <w:szCs w:val="20"/>
        </w:rPr>
        <w:t>Add the following as 460.5.2.4 Pay Adjustment for HMA Pavement Longitudinal Joint Density:</w:t>
      </w:r>
    </w:p>
    <w:p w14:paraId="4EDC684E" w14:textId="0C3441BB" w:rsidR="00541E74" w:rsidRPr="0071613F" w:rsidRDefault="00541E74" w:rsidP="00B640A4">
      <w:pPr>
        <w:autoSpaceDE w:val="0"/>
        <w:autoSpaceDN w:val="0"/>
        <w:adjustRightInd w:val="0"/>
        <w:spacing w:before="120" w:after="120" w:line="240" w:lineRule="auto"/>
        <w:ind w:left="180" w:hanging="180"/>
        <w:rPr>
          <w:rFonts w:ascii="Arial" w:hAnsi="Arial" w:cs="Arial"/>
          <w:color w:val="000000"/>
          <w:sz w:val="20"/>
          <w:szCs w:val="20"/>
        </w:rPr>
      </w:pPr>
      <w:r w:rsidRPr="0071613F">
        <w:rPr>
          <w:rFonts w:ascii="Arial" w:hAnsi="Arial" w:cs="Arial"/>
          <w:color w:val="000000"/>
          <w:sz w:val="12"/>
          <w:szCs w:val="12"/>
        </w:rPr>
        <w:t>(1)</w:t>
      </w:r>
      <w:r w:rsidR="008C5D40" w:rsidRPr="0071613F">
        <w:rPr>
          <w:rFonts w:ascii="Arial" w:hAnsi="Arial" w:cs="Arial"/>
          <w:color w:val="000000"/>
          <w:sz w:val="12"/>
          <w:szCs w:val="12"/>
        </w:rPr>
        <w:tab/>
      </w:r>
      <w:r w:rsidRPr="0071613F">
        <w:rPr>
          <w:rFonts w:ascii="Arial" w:hAnsi="Arial" w:cs="Arial"/>
          <w:color w:val="000000"/>
          <w:sz w:val="20"/>
          <w:szCs w:val="20"/>
        </w:rPr>
        <w:t xml:space="preserve">The department will administer longitudinal joint density adjustments under the </w:t>
      </w:r>
      <w:r w:rsidR="00F6040A" w:rsidRPr="0071613F">
        <w:rPr>
          <w:rFonts w:ascii="Arial" w:hAnsi="Arial" w:cs="Arial"/>
          <w:color w:val="000000"/>
          <w:sz w:val="20"/>
          <w:szCs w:val="20"/>
        </w:rPr>
        <w:t>I</w:t>
      </w:r>
      <w:r w:rsidR="00F6040A" w:rsidRPr="0071613F">
        <w:rPr>
          <w:rFonts w:ascii="Arial" w:hAnsi="Arial" w:cs="Arial"/>
          <w:sz w:val="20"/>
          <w:szCs w:val="20"/>
        </w:rPr>
        <w:t>ncentive Density HMA Pavement Longitudinal Joints</w:t>
      </w:r>
      <w:r w:rsidR="00F6040A" w:rsidRPr="0071613F" w:rsidDel="00F6040A">
        <w:rPr>
          <w:rFonts w:ascii="Arial" w:hAnsi="Arial" w:cs="Arial"/>
          <w:color w:val="000000"/>
          <w:sz w:val="20"/>
          <w:szCs w:val="20"/>
        </w:rPr>
        <w:t xml:space="preserve"> </w:t>
      </w:r>
      <w:r w:rsidRPr="0071613F">
        <w:rPr>
          <w:rFonts w:ascii="Arial" w:hAnsi="Arial" w:cs="Arial"/>
          <w:color w:val="000000"/>
          <w:sz w:val="20"/>
          <w:szCs w:val="20"/>
        </w:rPr>
        <w:t xml:space="preserve">and </w:t>
      </w:r>
      <w:r w:rsidR="00F6040A" w:rsidRPr="0071613F">
        <w:rPr>
          <w:rFonts w:ascii="Arial" w:hAnsi="Arial" w:cs="Arial"/>
          <w:sz w:val="20"/>
          <w:szCs w:val="20"/>
        </w:rPr>
        <w:t>Disincentive Density HMA Pavement Longitudinal Joints</w:t>
      </w:r>
      <w:r w:rsidR="00F6040A" w:rsidRPr="0071613F" w:rsidDel="00F6040A">
        <w:rPr>
          <w:rFonts w:ascii="Arial" w:hAnsi="Arial" w:cs="Arial"/>
          <w:color w:val="000000"/>
          <w:sz w:val="20"/>
          <w:szCs w:val="20"/>
        </w:rPr>
        <w:t xml:space="preserve"> </w:t>
      </w:r>
      <w:r w:rsidRPr="0071613F">
        <w:rPr>
          <w:rFonts w:ascii="Arial" w:hAnsi="Arial" w:cs="Arial"/>
          <w:color w:val="000000"/>
          <w:sz w:val="20"/>
          <w:szCs w:val="20"/>
        </w:rPr>
        <w:t>items. The department will adjust pay based on density relative to the specified targets in Section B of this special provision</w:t>
      </w:r>
      <w:r w:rsidRPr="0071613F">
        <w:rPr>
          <w:rFonts w:ascii="Arial" w:hAnsi="Arial" w:cs="Arial"/>
          <w:sz w:val="20"/>
          <w:szCs w:val="20"/>
        </w:rPr>
        <w:t xml:space="preserve">, and </w:t>
      </w:r>
      <w:r w:rsidRPr="0071613F">
        <w:rPr>
          <w:rFonts w:ascii="Arial" w:hAnsi="Arial" w:cs="Arial"/>
          <w:color w:val="000000"/>
          <w:sz w:val="20"/>
          <w:szCs w:val="20"/>
        </w:rPr>
        <w:t>linear foot of the HMA Pavement bid item for that sublot as follows:</w:t>
      </w:r>
    </w:p>
    <w:p w14:paraId="789A6414" w14:textId="77777777" w:rsidR="00541E74" w:rsidRPr="0071613F" w:rsidRDefault="00541E74" w:rsidP="00541E74">
      <w:pPr>
        <w:tabs>
          <w:tab w:val="left" w:pos="90"/>
        </w:tabs>
        <w:autoSpaceDE w:val="0"/>
        <w:autoSpaceDN w:val="0"/>
        <w:adjustRightInd w:val="0"/>
        <w:spacing w:after="0" w:line="240" w:lineRule="auto"/>
        <w:rPr>
          <w:rFonts w:ascii="Arial" w:hAnsi="Arial" w:cs="Arial"/>
          <w:color w:val="000000"/>
          <w:sz w:val="20"/>
          <w:szCs w:val="20"/>
        </w:rPr>
      </w:pPr>
    </w:p>
    <w:p w14:paraId="55FE5B1C" w14:textId="42E55BE0" w:rsidR="00541E74" w:rsidRPr="00A33460" w:rsidRDefault="00541E74" w:rsidP="001E63B7">
      <w:pPr>
        <w:tabs>
          <w:tab w:val="center" w:pos="2160"/>
          <w:tab w:val="center" w:pos="4680"/>
          <w:tab w:val="center" w:pos="7200"/>
        </w:tabs>
        <w:autoSpaceDE w:val="0"/>
        <w:autoSpaceDN w:val="0"/>
        <w:adjustRightInd w:val="0"/>
        <w:spacing w:after="0" w:line="240" w:lineRule="auto"/>
        <w:jc w:val="center"/>
        <w:rPr>
          <w:rFonts w:ascii="Arial" w:hAnsi="Arial" w:cs="Arial"/>
          <w:b/>
          <w:bCs/>
          <w:color w:val="000000"/>
          <w:sz w:val="20"/>
          <w:szCs w:val="20"/>
        </w:rPr>
      </w:pPr>
      <w:r w:rsidRPr="00A33460">
        <w:rPr>
          <w:rFonts w:ascii="Arial" w:hAnsi="Arial" w:cs="Arial"/>
          <w:b/>
          <w:bCs/>
          <w:color w:val="000000"/>
          <w:sz w:val="20"/>
          <w:szCs w:val="20"/>
        </w:rPr>
        <w:t>PAY ADJUSTMENT FOR HMA PAVEMENT LONGITUDINAL JOINT DENSITY</w:t>
      </w:r>
    </w:p>
    <w:p w14:paraId="19FA2727" w14:textId="2A7EE18B" w:rsidR="00541E74" w:rsidRPr="00A33460" w:rsidRDefault="00541E74" w:rsidP="00541E74">
      <w:pPr>
        <w:tabs>
          <w:tab w:val="center" w:pos="2160"/>
          <w:tab w:val="center" w:pos="4680"/>
          <w:tab w:val="center" w:pos="7200"/>
        </w:tabs>
        <w:autoSpaceDE w:val="0"/>
        <w:autoSpaceDN w:val="0"/>
        <w:adjustRightInd w:val="0"/>
        <w:spacing w:after="0" w:line="240" w:lineRule="auto"/>
        <w:rPr>
          <w:rFonts w:ascii="Arial" w:hAnsi="Arial" w:cs="Arial"/>
          <w:color w:val="000000"/>
          <w:sz w:val="20"/>
          <w:szCs w:val="20"/>
        </w:rPr>
      </w:pPr>
      <w:r w:rsidRPr="00A33460">
        <w:rPr>
          <w:rFonts w:ascii="Arial" w:hAnsi="Arial" w:cs="Arial"/>
          <w:color w:val="000000"/>
          <w:sz w:val="20"/>
          <w:szCs w:val="20"/>
        </w:rPr>
        <w:tab/>
        <w:t xml:space="preserve">PERCENT SUBLOT DENSITY </w:t>
      </w:r>
      <w:r w:rsidRPr="00A33460">
        <w:rPr>
          <w:rFonts w:ascii="Arial" w:hAnsi="Arial" w:cs="Arial"/>
          <w:color w:val="000000"/>
          <w:sz w:val="20"/>
          <w:szCs w:val="20"/>
        </w:rPr>
        <w:tab/>
      </w:r>
      <w:r w:rsidRPr="00A33460">
        <w:rPr>
          <w:rFonts w:ascii="Arial" w:hAnsi="Arial" w:cs="Arial"/>
          <w:color w:val="000000"/>
          <w:sz w:val="20"/>
          <w:szCs w:val="20"/>
        </w:rPr>
        <w:tab/>
        <w:t>PAY ADJUSTMENT PER LINEAR FOOT</w:t>
      </w:r>
    </w:p>
    <w:p w14:paraId="2CBCBED0" w14:textId="77777777" w:rsidR="00541E74" w:rsidRPr="0071613F" w:rsidRDefault="00541E74" w:rsidP="00541E74">
      <w:pPr>
        <w:tabs>
          <w:tab w:val="center" w:pos="2160"/>
          <w:tab w:val="center" w:pos="4680"/>
          <w:tab w:val="center" w:pos="7200"/>
        </w:tabs>
        <w:autoSpaceDE w:val="0"/>
        <w:autoSpaceDN w:val="0"/>
        <w:adjustRightInd w:val="0"/>
        <w:spacing w:after="0" w:line="240" w:lineRule="auto"/>
        <w:rPr>
          <w:rFonts w:ascii="Arial" w:hAnsi="Arial" w:cs="Arial"/>
          <w:color w:val="000000"/>
          <w:sz w:val="18"/>
          <w:szCs w:val="18"/>
        </w:rPr>
      </w:pPr>
      <w:r w:rsidRPr="00A33460">
        <w:rPr>
          <w:rFonts w:ascii="Arial" w:hAnsi="Arial" w:cs="Arial"/>
          <w:color w:val="000000"/>
          <w:sz w:val="20"/>
          <w:szCs w:val="20"/>
        </w:rPr>
        <w:tab/>
        <w:t>ABOVE/BELOW SPECIFIED MINIMUM</w:t>
      </w:r>
      <w:r w:rsidRPr="0071613F">
        <w:rPr>
          <w:rFonts w:ascii="Arial" w:hAnsi="Arial" w:cs="Arial"/>
          <w:color w:val="000000"/>
          <w:sz w:val="18"/>
          <w:szCs w:val="18"/>
        </w:rPr>
        <w:t xml:space="preserve"> </w:t>
      </w:r>
      <w:r w:rsidRPr="0071613F">
        <w:rPr>
          <w:rFonts w:ascii="Arial" w:hAnsi="Arial" w:cs="Arial"/>
          <w:color w:val="000000"/>
          <w:sz w:val="18"/>
          <w:szCs w:val="18"/>
        </w:rPr>
        <w:tab/>
      </w:r>
      <w:r w:rsidRPr="0071613F">
        <w:rPr>
          <w:rFonts w:ascii="Arial" w:hAnsi="Arial" w:cs="Arial"/>
          <w:color w:val="000000"/>
          <w:sz w:val="18"/>
          <w:szCs w:val="18"/>
        </w:rPr>
        <w:tab/>
      </w:r>
    </w:p>
    <w:p w14:paraId="5FF0FB84" w14:textId="4235EAFB"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71613F">
        <w:rPr>
          <w:rFonts w:ascii="Arial" w:hAnsi="Arial" w:cs="Arial"/>
          <w:color w:val="000000"/>
          <w:sz w:val="18"/>
          <w:szCs w:val="18"/>
        </w:rPr>
        <w:tab/>
      </w:r>
      <w:r w:rsidR="00EC3CB8" w:rsidRPr="00A33460">
        <w:rPr>
          <w:rFonts w:ascii="Arial" w:hAnsi="Arial" w:cs="Arial"/>
          <w:color w:val="000000"/>
          <w:sz w:val="18"/>
          <w:szCs w:val="18"/>
        </w:rPr>
        <w:t>Equal to or greater</w:t>
      </w:r>
      <w:r w:rsidRPr="00A33460">
        <w:rPr>
          <w:rFonts w:ascii="Arial" w:hAnsi="Arial" w:cs="Arial"/>
          <w:color w:val="000000"/>
          <w:sz w:val="18"/>
          <w:szCs w:val="18"/>
        </w:rPr>
        <w:t xml:space="preserve"> than +1.0 confined, +2.0 unconfined</w:t>
      </w:r>
      <w:r w:rsidRPr="00A33460">
        <w:rPr>
          <w:rFonts w:ascii="Arial" w:hAnsi="Arial" w:cs="Arial"/>
          <w:color w:val="000000"/>
          <w:sz w:val="18"/>
          <w:szCs w:val="18"/>
        </w:rPr>
        <w:tab/>
      </w:r>
      <w:r w:rsidRPr="00A33460">
        <w:rPr>
          <w:rFonts w:ascii="Arial" w:hAnsi="Arial" w:cs="Arial"/>
          <w:color w:val="000000"/>
          <w:sz w:val="18"/>
          <w:szCs w:val="18"/>
        </w:rPr>
        <w:tab/>
        <w:t>$0.</w:t>
      </w:r>
      <w:r w:rsidR="00442157">
        <w:rPr>
          <w:rFonts w:ascii="Arial" w:hAnsi="Arial" w:cs="Arial"/>
          <w:color w:val="000000"/>
          <w:sz w:val="18"/>
          <w:szCs w:val="18"/>
        </w:rPr>
        <w:t>2</w:t>
      </w:r>
      <w:r w:rsidRPr="00A33460">
        <w:rPr>
          <w:rFonts w:ascii="Arial" w:hAnsi="Arial" w:cs="Arial"/>
          <w:color w:val="000000"/>
          <w:sz w:val="18"/>
          <w:szCs w:val="18"/>
        </w:rPr>
        <w:t xml:space="preserve">0 </w:t>
      </w:r>
    </w:p>
    <w:p w14:paraId="3AEDDB82" w14:textId="77F9F0C4"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A33460">
        <w:rPr>
          <w:rFonts w:ascii="Arial" w:hAnsi="Arial" w:cs="Arial"/>
          <w:color w:val="000000"/>
          <w:sz w:val="18"/>
          <w:szCs w:val="18"/>
        </w:rPr>
        <w:lastRenderedPageBreak/>
        <w:tab/>
        <w:t>From 0.0 to +</w:t>
      </w:r>
      <w:r w:rsidR="00EC3CB8" w:rsidRPr="00A33460">
        <w:rPr>
          <w:rFonts w:ascii="Arial" w:hAnsi="Arial" w:cs="Arial"/>
          <w:color w:val="000000"/>
          <w:sz w:val="18"/>
          <w:szCs w:val="18"/>
        </w:rPr>
        <w:t>0</w:t>
      </w:r>
      <w:r w:rsidRPr="00A33460">
        <w:rPr>
          <w:rFonts w:ascii="Arial" w:hAnsi="Arial" w:cs="Arial"/>
          <w:color w:val="000000"/>
          <w:sz w:val="18"/>
          <w:szCs w:val="18"/>
        </w:rPr>
        <w:t>.</w:t>
      </w:r>
      <w:r w:rsidR="00EC3CB8" w:rsidRPr="00A33460">
        <w:rPr>
          <w:rFonts w:ascii="Arial" w:hAnsi="Arial" w:cs="Arial"/>
          <w:color w:val="000000"/>
          <w:sz w:val="18"/>
          <w:szCs w:val="18"/>
        </w:rPr>
        <w:t>9</w:t>
      </w:r>
      <w:r w:rsidRPr="00A33460">
        <w:rPr>
          <w:rFonts w:ascii="Arial" w:hAnsi="Arial" w:cs="Arial"/>
          <w:color w:val="000000"/>
          <w:sz w:val="18"/>
          <w:szCs w:val="18"/>
        </w:rPr>
        <w:t xml:space="preserve"> confined, 0.0 to +</w:t>
      </w:r>
      <w:r w:rsidR="00EC3CB8" w:rsidRPr="00A33460">
        <w:rPr>
          <w:rFonts w:ascii="Arial" w:hAnsi="Arial" w:cs="Arial"/>
          <w:color w:val="000000"/>
          <w:sz w:val="18"/>
          <w:szCs w:val="18"/>
        </w:rPr>
        <w:t>1</w:t>
      </w:r>
      <w:r w:rsidRPr="00A33460">
        <w:rPr>
          <w:rFonts w:ascii="Arial" w:hAnsi="Arial" w:cs="Arial"/>
          <w:color w:val="000000"/>
          <w:sz w:val="18"/>
          <w:szCs w:val="18"/>
        </w:rPr>
        <w:t>.</w:t>
      </w:r>
      <w:r w:rsidR="00EC3CB8" w:rsidRPr="00A33460">
        <w:rPr>
          <w:rFonts w:ascii="Arial" w:hAnsi="Arial" w:cs="Arial"/>
          <w:color w:val="000000"/>
          <w:sz w:val="18"/>
          <w:szCs w:val="18"/>
        </w:rPr>
        <w:t>9</w:t>
      </w:r>
      <w:r w:rsidRPr="00A33460">
        <w:rPr>
          <w:rFonts w:ascii="Arial" w:hAnsi="Arial" w:cs="Arial"/>
          <w:color w:val="000000"/>
          <w:sz w:val="18"/>
          <w:szCs w:val="18"/>
        </w:rPr>
        <w:t xml:space="preserve"> unconfined</w:t>
      </w:r>
      <w:r w:rsidRPr="00A33460">
        <w:rPr>
          <w:rFonts w:ascii="Arial" w:hAnsi="Arial" w:cs="Arial"/>
          <w:color w:val="000000"/>
          <w:sz w:val="18"/>
          <w:szCs w:val="18"/>
        </w:rPr>
        <w:tab/>
      </w:r>
      <w:r w:rsidRPr="00A33460">
        <w:rPr>
          <w:rFonts w:ascii="Arial" w:hAnsi="Arial" w:cs="Arial"/>
          <w:color w:val="000000"/>
          <w:sz w:val="18"/>
          <w:szCs w:val="18"/>
        </w:rPr>
        <w:tab/>
        <w:t>$0</w:t>
      </w:r>
    </w:p>
    <w:p w14:paraId="520ADAEC" w14:textId="77777777"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A33460">
        <w:rPr>
          <w:rFonts w:ascii="Arial" w:hAnsi="Arial" w:cs="Arial"/>
          <w:color w:val="000000"/>
          <w:sz w:val="18"/>
          <w:szCs w:val="18"/>
        </w:rPr>
        <w:tab/>
        <w:t xml:space="preserve"> From -0.1 to -1.0 </w:t>
      </w:r>
      <w:r w:rsidRPr="00A33460">
        <w:rPr>
          <w:rFonts w:ascii="Arial" w:hAnsi="Arial" w:cs="Arial"/>
          <w:color w:val="000000"/>
          <w:sz w:val="18"/>
          <w:szCs w:val="18"/>
        </w:rPr>
        <w:tab/>
      </w:r>
      <w:r w:rsidRPr="00A33460">
        <w:rPr>
          <w:rFonts w:ascii="Arial" w:hAnsi="Arial" w:cs="Arial"/>
          <w:color w:val="000000"/>
          <w:sz w:val="18"/>
          <w:szCs w:val="18"/>
        </w:rPr>
        <w:tab/>
        <w:t>$(0.20)</w:t>
      </w:r>
    </w:p>
    <w:p w14:paraId="057D81A1" w14:textId="77777777"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A33460">
        <w:rPr>
          <w:rFonts w:ascii="Arial" w:hAnsi="Arial" w:cs="Arial"/>
          <w:color w:val="000000"/>
          <w:sz w:val="18"/>
          <w:szCs w:val="18"/>
        </w:rPr>
        <w:tab/>
        <w:t>From -1.1 to -2.0</w:t>
      </w:r>
      <w:r w:rsidRPr="00A33460">
        <w:rPr>
          <w:rFonts w:ascii="Arial" w:hAnsi="Arial" w:cs="Arial"/>
          <w:color w:val="000000"/>
          <w:sz w:val="18"/>
          <w:szCs w:val="18"/>
        </w:rPr>
        <w:tab/>
      </w:r>
      <w:r w:rsidRPr="00A33460">
        <w:rPr>
          <w:rFonts w:ascii="Arial" w:hAnsi="Arial" w:cs="Arial"/>
          <w:color w:val="000000"/>
          <w:sz w:val="18"/>
          <w:szCs w:val="18"/>
        </w:rPr>
        <w:tab/>
        <w:t>$(0.40)</w:t>
      </w:r>
    </w:p>
    <w:p w14:paraId="3AE2B490" w14:textId="4A9685F7"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A33460">
        <w:rPr>
          <w:rFonts w:ascii="Arial" w:hAnsi="Arial" w:cs="Arial"/>
          <w:color w:val="000000"/>
          <w:sz w:val="18"/>
          <w:szCs w:val="18"/>
        </w:rPr>
        <w:tab/>
        <w:t>From -2.</w:t>
      </w:r>
      <w:r w:rsidR="00273344" w:rsidRPr="00A33460">
        <w:rPr>
          <w:rFonts w:ascii="Arial" w:hAnsi="Arial" w:cs="Arial"/>
          <w:color w:val="000000"/>
          <w:sz w:val="18"/>
          <w:szCs w:val="18"/>
        </w:rPr>
        <w:t>1</w:t>
      </w:r>
      <w:r w:rsidRPr="00A33460">
        <w:rPr>
          <w:rFonts w:ascii="Arial" w:hAnsi="Arial" w:cs="Arial"/>
          <w:color w:val="000000"/>
          <w:sz w:val="18"/>
          <w:szCs w:val="18"/>
        </w:rPr>
        <w:t xml:space="preserve"> to -3.0</w:t>
      </w:r>
      <w:r w:rsidRPr="00A33460">
        <w:rPr>
          <w:rFonts w:ascii="Arial" w:hAnsi="Arial" w:cs="Arial"/>
          <w:color w:val="000000"/>
          <w:sz w:val="18"/>
          <w:szCs w:val="18"/>
        </w:rPr>
        <w:tab/>
      </w:r>
      <w:r w:rsidRPr="00A33460">
        <w:rPr>
          <w:rFonts w:ascii="Arial" w:hAnsi="Arial" w:cs="Arial"/>
          <w:color w:val="000000"/>
          <w:sz w:val="18"/>
          <w:szCs w:val="18"/>
        </w:rPr>
        <w:tab/>
        <w:t>$(0.80)</w:t>
      </w:r>
    </w:p>
    <w:p w14:paraId="2635BF32" w14:textId="7BD0E857" w:rsidR="00541E74" w:rsidRPr="00A33460" w:rsidRDefault="00541E74" w:rsidP="00A33460">
      <w:pPr>
        <w:tabs>
          <w:tab w:val="center" w:pos="2160"/>
          <w:tab w:val="center" w:pos="4680"/>
          <w:tab w:val="center" w:pos="7200"/>
        </w:tabs>
        <w:autoSpaceDE w:val="0"/>
        <w:autoSpaceDN w:val="0"/>
        <w:adjustRightInd w:val="0"/>
        <w:spacing w:before="120" w:after="120" w:line="240" w:lineRule="auto"/>
        <w:rPr>
          <w:rFonts w:ascii="Arial" w:hAnsi="Arial" w:cs="Arial"/>
          <w:color w:val="000000"/>
          <w:sz w:val="18"/>
          <w:szCs w:val="18"/>
        </w:rPr>
      </w:pPr>
      <w:r w:rsidRPr="00A33460">
        <w:rPr>
          <w:rFonts w:ascii="Arial" w:hAnsi="Arial" w:cs="Arial"/>
          <w:color w:val="000000"/>
          <w:sz w:val="18"/>
          <w:szCs w:val="18"/>
        </w:rPr>
        <w:tab/>
        <w:t>More than -3.0</w:t>
      </w:r>
      <w:r w:rsidRPr="00A33460">
        <w:rPr>
          <w:rFonts w:ascii="Arial" w:hAnsi="Arial" w:cs="Arial"/>
          <w:i/>
          <w:iCs/>
          <w:color w:val="000000"/>
          <w:sz w:val="18"/>
          <w:szCs w:val="18"/>
        </w:rPr>
        <w:tab/>
      </w:r>
      <w:r w:rsidRPr="00A33460">
        <w:rPr>
          <w:rFonts w:ascii="Arial" w:hAnsi="Arial" w:cs="Arial"/>
          <w:i/>
          <w:iCs/>
          <w:color w:val="000000"/>
          <w:sz w:val="18"/>
          <w:szCs w:val="18"/>
        </w:rPr>
        <w:tab/>
        <w:t xml:space="preserve">REMEDIAL </w:t>
      </w:r>
      <w:r w:rsidR="009A4641" w:rsidRPr="00A33460">
        <w:rPr>
          <w:rFonts w:ascii="Arial" w:hAnsi="Arial" w:cs="Arial"/>
          <w:i/>
          <w:iCs/>
          <w:color w:val="000000"/>
          <w:sz w:val="18"/>
          <w:szCs w:val="18"/>
        </w:rPr>
        <w:t>ACTION</w:t>
      </w:r>
      <w:r w:rsidR="009A4641" w:rsidRPr="00A33460">
        <w:rPr>
          <w:rFonts w:ascii="Arial" w:hAnsi="Arial" w:cs="Arial"/>
          <w:i/>
          <w:iCs/>
          <w:color w:val="000000"/>
          <w:sz w:val="18"/>
          <w:szCs w:val="18"/>
          <w:vertAlign w:val="superscript"/>
        </w:rPr>
        <w:t xml:space="preserve"> [</w:t>
      </w:r>
      <w:r w:rsidRPr="00A33460">
        <w:rPr>
          <w:rFonts w:ascii="Arial" w:hAnsi="Arial" w:cs="Arial"/>
          <w:i/>
          <w:iCs/>
          <w:color w:val="000000"/>
          <w:sz w:val="18"/>
          <w:szCs w:val="18"/>
          <w:vertAlign w:val="superscript"/>
        </w:rPr>
        <w:t>1]</w:t>
      </w:r>
    </w:p>
    <w:p w14:paraId="24BFB229" w14:textId="418CE3F0" w:rsidR="00541E74" w:rsidRPr="00A33460" w:rsidRDefault="00541E74" w:rsidP="00541E74">
      <w:pPr>
        <w:autoSpaceDE w:val="0"/>
        <w:autoSpaceDN w:val="0"/>
        <w:adjustRightInd w:val="0"/>
        <w:spacing w:after="0" w:line="240" w:lineRule="auto"/>
        <w:ind w:left="450"/>
        <w:rPr>
          <w:rFonts w:ascii="Arial" w:hAnsi="Arial" w:cs="Arial"/>
          <w:color w:val="000000"/>
          <w:sz w:val="18"/>
          <w:szCs w:val="18"/>
        </w:rPr>
      </w:pPr>
      <w:r w:rsidRPr="00A33460">
        <w:rPr>
          <w:rFonts w:ascii="Arial" w:hAnsi="Arial" w:cs="Arial"/>
          <w:i/>
          <w:iCs/>
          <w:color w:val="000000"/>
          <w:sz w:val="18"/>
          <w:szCs w:val="18"/>
          <w:vertAlign w:val="superscript"/>
        </w:rPr>
        <w:t>[1]</w:t>
      </w:r>
      <w:r w:rsidRPr="00A33460">
        <w:rPr>
          <w:rFonts w:ascii="Arial" w:hAnsi="Arial" w:cs="Arial"/>
          <w:i/>
          <w:iCs/>
          <w:color w:val="000000"/>
          <w:sz w:val="18"/>
          <w:szCs w:val="18"/>
        </w:rPr>
        <w:t xml:space="preserve"> </w:t>
      </w:r>
      <w:r w:rsidRPr="00A33460">
        <w:rPr>
          <w:rFonts w:ascii="Arial" w:hAnsi="Arial" w:cs="Arial"/>
          <w:color w:val="000000"/>
          <w:sz w:val="18"/>
          <w:szCs w:val="18"/>
        </w:rPr>
        <w:t xml:space="preserve">Remedial action must be approved by the engineer and agreed upon at the time of the pre-pave </w:t>
      </w:r>
      <w:r w:rsidR="00541E61" w:rsidRPr="00A33460">
        <w:rPr>
          <w:rFonts w:ascii="Arial" w:hAnsi="Arial" w:cs="Arial"/>
          <w:color w:val="000000"/>
          <w:sz w:val="18"/>
          <w:szCs w:val="18"/>
        </w:rPr>
        <w:t>meeting and</w:t>
      </w:r>
      <w:r w:rsidRPr="00A33460">
        <w:rPr>
          <w:rFonts w:ascii="Arial" w:hAnsi="Arial" w:cs="Arial"/>
          <w:color w:val="000000"/>
          <w:sz w:val="18"/>
          <w:szCs w:val="18"/>
        </w:rPr>
        <w:t xml:space="preserve"> may include partial sublots as determined and defined in 460.3.3.2(</w:t>
      </w:r>
      <w:r w:rsidR="00EC3CB8" w:rsidRPr="00A33460">
        <w:rPr>
          <w:rFonts w:ascii="Arial" w:hAnsi="Arial" w:cs="Arial"/>
          <w:color w:val="000000"/>
          <w:sz w:val="18"/>
          <w:szCs w:val="18"/>
        </w:rPr>
        <w:t>7</w:t>
      </w:r>
      <w:r w:rsidRPr="00A33460">
        <w:rPr>
          <w:rFonts w:ascii="Arial" w:hAnsi="Arial" w:cs="Arial"/>
          <w:color w:val="000000"/>
          <w:sz w:val="18"/>
          <w:szCs w:val="18"/>
        </w:rPr>
        <w:t>) of this document</w:t>
      </w:r>
      <w:r w:rsidR="00541E61" w:rsidRPr="00A33460">
        <w:rPr>
          <w:rFonts w:ascii="Arial" w:hAnsi="Arial" w:cs="Arial"/>
          <w:color w:val="000000"/>
          <w:sz w:val="18"/>
          <w:szCs w:val="18"/>
        </w:rPr>
        <w:t>. If unacceptable material is removed and replaced per guidance by the engineer, the removal and replacement will be for the full lane width of the side</w:t>
      </w:r>
      <w:r w:rsidR="006E6249" w:rsidRPr="00A33460">
        <w:rPr>
          <w:rFonts w:ascii="Arial" w:hAnsi="Arial" w:cs="Arial"/>
          <w:color w:val="000000"/>
          <w:sz w:val="18"/>
          <w:szCs w:val="18"/>
        </w:rPr>
        <w:t xml:space="preserve"> </w:t>
      </w:r>
      <w:r w:rsidR="001359BA" w:rsidRPr="00A33460">
        <w:rPr>
          <w:rFonts w:ascii="Arial" w:hAnsi="Arial" w:cs="Arial"/>
          <w:color w:val="000000"/>
          <w:sz w:val="18"/>
          <w:szCs w:val="18"/>
        </w:rPr>
        <w:t>of</w:t>
      </w:r>
      <w:r w:rsidR="006E6249" w:rsidRPr="00A33460">
        <w:rPr>
          <w:rFonts w:ascii="Arial" w:hAnsi="Arial" w:cs="Arial"/>
          <w:color w:val="000000"/>
          <w:sz w:val="18"/>
          <w:szCs w:val="18"/>
        </w:rPr>
        <w:t xml:space="preserve"> which the joint was constructed</w:t>
      </w:r>
      <w:r w:rsidR="00541E61" w:rsidRPr="00A33460">
        <w:rPr>
          <w:rFonts w:ascii="Arial" w:hAnsi="Arial" w:cs="Arial"/>
          <w:color w:val="000000"/>
          <w:sz w:val="18"/>
          <w:szCs w:val="18"/>
        </w:rPr>
        <w:t xml:space="preserve"> with unacceptable material.</w:t>
      </w:r>
    </w:p>
    <w:p w14:paraId="6D3DB92E" w14:textId="609F6CAF" w:rsidR="00541E74" w:rsidRPr="0071613F" w:rsidRDefault="00541E74" w:rsidP="00A33460">
      <w:pPr>
        <w:autoSpaceDE w:val="0"/>
        <w:autoSpaceDN w:val="0"/>
        <w:adjustRightInd w:val="0"/>
        <w:spacing w:before="120" w:after="120" w:line="240" w:lineRule="auto"/>
        <w:ind w:left="180" w:hanging="180"/>
        <w:rPr>
          <w:rFonts w:ascii="Arial" w:hAnsi="Arial" w:cs="Arial"/>
          <w:color w:val="000000"/>
          <w:sz w:val="20"/>
          <w:szCs w:val="20"/>
        </w:rPr>
      </w:pPr>
      <w:r w:rsidRPr="0071613F">
        <w:rPr>
          <w:rFonts w:ascii="Arial" w:hAnsi="Arial" w:cs="Arial"/>
          <w:color w:val="000000"/>
          <w:sz w:val="12"/>
          <w:szCs w:val="12"/>
        </w:rPr>
        <w:t>(2)</w:t>
      </w:r>
      <w:r w:rsidR="008C5D40" w:rsidRPr="0071613F">
        <w:rPr>
          <w:rFonts w:ascii="Arial" w:hAnsi="Arial" w:cs="Arial"/>
          <w:color w:val="000000"/>
          <w:sz w:val="12"/>
          <w:szCs w:val="12"/>
        </w:rPr>
        <w:tab/>
      </w:r>
      <w:r w:rsidRPr="0071613F">
        <w:rPr>
          <w:rFonts w:ascii="Arial" w:hAnsi="Arial" w:cs="Arial"/>
          <w:color w:val="000000"/>
          <w:sz w:val="20"/>
          <w:szCs w:val="20"/>
        </w:rPr>
        <w:t xml:space="preserve">The department will not assess joint density disincentives for pavement placed in cold weather because of a department-caused delay as specified in </w:t>
      </w:r>
      <w:hyperlink r:id="rId11" w:anchor="ss450" w:history="1">
        <w:r w:rsidR="0032511A" w:rsidRPr="0071613F">
          <w:rPr>
            <w:rStyle w:val="Hyperlink"/>
            <w:rFonts w:ascii="Arial" w:hAnsi="Arial" w:cs="Arial"/>
            <w:sz w:val="20"/>
            <w:szCs w:val="20"/>
          </w:rPr>
          <w:t>standard s</w:t>
        </w:r>
        <w:r w:rsidR="002A34ED" w:rsidRPr="0071613F">
          <w:rPr>
            <w:rStyle w:val="Hyperlink"/>
            <w:rFonts w:ascii="Arial" w:hAnsi="Arial" w:cs="Arial"/>
            <w:sz w:val="20"/>
            <w:szCs w:val="20"/>
          </w:rPr>
          <w:t xml:space="preserve">pec </w:t>
        </w:r>
        <w:r w:rsidRPr="0071613F">
          <w:rPr>
            <w:rStyle w:val="Hyperlink"/>
            <w:rFonts w:ascii="Arial" w:hAnsi="Arial" w:cs="Arial"/>
            <w:sz w:val="20"/>
            <w:szCs w:val="20"/>
          </w:rPr>
          <w:t>450.5.2(3).</w:t>
        </w:r>
      </w:hyperlink>
    </w:p>
    <w:p w14:paraId="4095570D" w14:textId="21335587" w:rsidR="00541E74" w:rsidRDefault="00541E74" w:rsidP="00A33460">
      <w:pPr>
        <w:autoSpaceDE w:val="0"/>
        <w:autoSpaceDN w:val="0"/>
        <w:adjustRightInd w:val="0"/>
        <w:spacing w:before="120" w:after="120" w:line="240" w:lineRule="auto"/>
        <w:ind w:left="180" w:hanging="180"/>
        <w:rPr>
          <w:rFonts w:ascii="Arial" w:hAnsi="Arial" w:cs="Arial"/>
          <w:sz w:val="20"/>
          <w:szCs w:val="20"/>
        </w:rPr>
      </w:pPr>
      <w:r w:rsidRPr="0071613F">
        <w:rPr>
          <w:rFonts w:ascii="Arial" w:hAnsi="Arial" w:cs="Arial"/>
          <w:sz w:val="12"/>
          <w:szCs w:val="12"/>
        </w:rPr>
        <w:t>(3)</w:t>
      </w:r>
      <w:r w:rsidR="008C5D40" w:rsidRPr="0071613F">
        <w:rPr>
          <w:rFonts w:ascii="Arial" w:hAnsi="Arial" w:cs="Arial"/>
          <w:sz w:val="12"/>
          <w:szCs w:val="12"/>
        </w:rPr>
        <w:tab/>
      </w:r>
      <w:r w:rsidRPr="0071613F">
        <w:rPr>
          <w:rFonts w:ascii="Arial" w:hAnsi="Arial" w:cs="Arial"/>
          <w:sz w:val="20"/>
          <w:szCs w:val="20"/>
        </w:rPr>
        <w:t>The department will not pay incentive on the longitudinal joint density if the traffic lane is in disincentive</w:t>
      </w:r>
      <w:r w:rsidR="0037264D">
        <w:rPr>
          <w:rFonts w:ascii="Arial" w:hAnsi="Arial" w:cs="Arial"/>
          <w:sz w:val="20"/>
          <w:szCs w:val="20"/>
        </w:rPr>
        <w:t>.</w:t>
      </w:r>
      <w:r w:rsidRPr="0071613F">
        <w:rPr>
          <w:rFonts w:ascii="Arial" w:hAnsi="Arial" w:cs="Arial"/>
          <w:sz w:val="20"/>
          <w:szCs w:val="20"/>
        </w:rPr>
        <w:t xml:space="preserve"> A disincentive may be applied for each mainline lane and all joint densities if both qualify for a pay reduction.</w:t>
      </w:r>
    </w:p>
    <w:p w14:paraId="09226EA3" w14:textId="77777777" w:rsidR="001E70AF" w:rsidRPr="0003335D" w:rsidRDefault="001E70AF" w:rsidP="001E70AF">
      <w:pPr>
        <w:autoSpaceDE w:val="0"/>
        <w:autoSpaceDN w:val="0"/>
        <w:adjustRightInd w:val="0"/>
        <w:spacing w:before="120" w:after="120" w:line="240" w:lineRule="auto"/>
        <w:ind w:left="180" w:hanging="180"/>
        <w:rPr>
          <w:rFonts w:ascii="Arial" w:hAnsi="Arial" w:cs="Arial"/>
          <w:i/>
        </w:rPr>
      </w:pPr>
      <w:r w:rsidRPr="0003335D">
        <w:rPr>
          <w:rFonts w:ascii="Arial" w:hAnsi="Arial" w:cs="Arial"/>
          <w:sz w:val="12"/>
          <w:szCs w:val="12"/>
        </w:rPr>
        <w:t>(4)</w:t>
      </w:r>
      <w:r w:rsidRPr="0003335D">
        <w:rPr>
          <w:rFonts w:ascii="Arial" w:hAnsi="Arial" w:cs="Arial"/>
          <w:sz w:val="12"/>
          <w:szCs w:val="12"/>
        </w:rPr>
        <w:tab/>
      </w:r>
      <w:r w:rsidRPr="0003335D">
        <w:rPr>
          <w:rFonts w:ascii="Arial" w:hAnsi="Arial" w:cs="Arial"/>
          <w:sz w:val="20"/>
          <w:szCs w:val="20"/>
        </w:rPr>
        <w:t>Inlay paving operations will limit payment for additional material to 2 inches wider than the final paving lane width at the centerline.</w:t>
      </w:r>
    </w:p>
    <w:p w14:paraId="59A7DBC6" w14:textId="16E4541F" w:rsidR="00450383" w:rsidRDefault="00450383" w:rsidP="00A33460">
      <w:pPr>
        <w:spacing w:before="120" w:after="120"/>
        <w:rPr>
          <w:rFonts w:ascii="Arial" w:eastAsia="Calibri" w:hAnsi="Arial" w:cs="Arial"/>
          <w:sz w:val="20"/>
          <w:szCs w:val="20"/>
        </w:rPr>
      </w:pPr>
      <w:bookmarkStart w:id="4" w:name="_Hlk516129114"/>
      <w:r w:rsidRPr="0071613F">
        <w:rPr>
          <w:rFonts w:ascii="Arial" w:eastAsia="Calibri" w:hAnsi="Arial" w:cs="Arial"/>
          <w:sz w:val="20"/>
          <w:szCs w:val="20"/>
        </w:rPr>
        <w:t xml:space="preserve">The department will pay incentive for </w:t>
      </w:r>
      <w:r w:rsidR="00F6040A" w:rsidRPr="0071613F">
        <w:rPr>
          <w:rFonts w:ascii="Arial" w:eastAsia="Calibri" w:hAnsi="Arial" w:cs="Arial"/>
          <w:sz w:val="20"/>
          <w:szCs w:val="20"/>
        </w:rPr>
        <w:t>l</w:t>
      </w:r>
      <w:r w:rsidRPr="0071613F">
        <w:rPr>
          <w:rFonts w:ascii="Arial" w:hAnsi="Arial" w:cs="Arial"/>
          <w:color w:val="000000"/>
          <w:sz w:val="20"/>
          <w:szCs w:val="20"/>
        </w:rPr>
        <w:t xml:space="preserve">ongitudinal </w:t>
      </w:r>
      <w:r w:rsidR="00F6040A" w:rsidRPr="0071613F">
        <w:rPr>
          <w:rFonts w:ascii="Arial" w:hAnsi="Arial" w:cs="Arial"/>
          <w:color w:val="000000"/>
          <w:sz w:val="20"/>
          <w:szCs w:val="20"/>
        </w:rPr>
        <w:t>j</w:t>
      </w:r>
      <w:r w:rsidRPr="0071613F">
        <w:rPr>
          <w:rFonts w:ascii="Arial" w:hAnsi="Arial" w:cs="Arial"/>
          <w:color w:val="000000"/>
          <w:sz w:val="20"/>
          <w:szCs w:val="20"/>
        </w:rPr>
        <w:t xml:space="preserve">oint </w:t>
      </w:r>
      <w:r w:rsidR="00F6040A" w:rsidRPr="0071613F">
        <w:rPr>
          <w:rFonts w:ascii="Arial" w:hAnsi="Arial" w:cs="Arial"/>
          <w:color w:val="000000"/>
          <w:sz w:val="20"/>
          <w:szCs w:val="20"/>
        </w:rPr>
        <w:t>d</w:t>
      </w:r>
      <w:r w:rsidRPr="0071613F">
        <w:rPr>
          <w:rFonts w:ascii="Arial" w:hAnsi="Arial" w:cs="Arial"/>
          <w:color w:val="000000"/>
          <w:sz w:val="20"/>
          <w:szCs w:val="20"/>
        </w:rPr>
        <w:t xml:space="preserve">ensity </w:t>
      </w:r>
      <w:r w:rsidRPr="0071613F">
        <w:rPr>
          <w:rFonts w:ascii="Arial" w:eastAsia="Calibri" w:hAnsi="Arial" w:cs="Arial"/>
          <w:sz w:val="20"/>
          <w:szCs w:val="20"/>
        </w:rPr>
        <w:t>under the following bid items:</w:t>
      </w:r>
    </w:p>
    <w:tbl>
      <w:tblPr>
        <w:tblW w:w="9974" w:type="dxa"/>
        <w:tblInd w:w="-90" w:type="dxa"/>
        <w:tblLook w:val="04A0" w:firstRow="1" w:lastRow="0" w:firstColumn="1" w:lastColumn="0" w:noHBand="0" w:noVBand="1"/>
      </w:tblPr>
      <w:tblGrid>
        <w:gridCol w:w="2070"/>
        <w:gridCol w:w="6390"/>
        <w:gridCol w:w="1514"/>
      </w:tblGrid>
      <w:tr w:rsidR="00A33460" w:rsidRPr="00E47E2E" w14:paraId="61E4AB56" w14:textId="77777777" w:rsidTr="00A33460">
        <w:tc>
          <w:tcPr>
            <w:tcW w:w="2070" w:type="dxa"/>
          </w:tcPr>
          <w:p w14:paraId="5BC49960" w14:textId="77777777" w:rsidR="00A33460" w:rsidRPr="008D65A5" w:rsidRDefault="00A33460" w:rsidP="00A33460">
            <w:pPr>
              <w:tabs>
                <w:tab w:val="left" w:pos="432"/>
              </w:tabs>
              <w:spacing w:after="0"/>
              <w:rPr>
                <w:rFonts w:ascii="Arial" w:eastAsia="Calibri" w:hAnsi="Arial" w:cs="Arial"/>
                <w:sz w:val="18"/>
                <w:szCs w:val="18"/>
              </w:rPr>
            </w:pPr>
            <w:r w:rsidRPr="008D65A5">
              <w:rPr>
                <w:rFonts w:ascii="Arial" w:eastAsia="Calibri" w:hAnsi="Arial" w:cs="Arial"/>
                <w:sz w:val="18"/>
                <w:szCs w:val="18"/>
              </w:rPr>
              <w:t>ITEM NUMBER</w:t>
            </w:r>
          </w:p>
        </w:tc>
        <w:tc>
          <w:tcPr>
            <w:tcW w:w="6390" w:type="dxa"/>
          </w:tcPr>
          <w:p w14:paraId="203CCD12" w14:textId="77777777" w:rsidR="00A33460" w:rsidRPr="008D65A5" w:rsidRDefault="00A33460" w:rsidP="00A33460">
            <w:pPr>
              <w:tabs>
                <w:tab w:val="left" w:pos="432"/>
              </w:tabs>
              <w:spacing w:after="0"/>
              <w:rPr>
                <w:rFonts w:ascii="Arial" w:eastAsia="Calibri" w:hAnsi="Arial" w:cs="Arial"/>
                <w:sz w:val="18"/>
                <w:szCs w:val="18"/>
              </w:rPr>
            </w:pPr>
            <w:r w:rsidRPr="008D65A5">
              <w:rPr>
                <w:rFonts w:ascii="Arial" w:eastAsia="Calibri" w:hAnsi="Arial" w:cs="Arial"/>
                <w:sz w:val="18"/>
                <w:szCs w:val="18"/>
              </w:rPr>
              <w:t>DESCRIPTION</w:t>
            </w:r>
          </w:p>
        </w:tc>
        <w:tc>
          <w:tcPr>
            <w:tcW w:w="1514" w:type="dxa"/>
          </w:tcPr>
          <w:p w14:paraId="5793F32B" w14:textId="77777777" w:rsidR="00A33460" w:rsidRPr="008D65A5" w:rsidRDefault="00A33460" w:rsidP="00A33460">
            <w:pPr>
              <w:tabs>
                <w:tab w:val="left" w:pos="432"/>
              </w:tabs>
              <w:spacing w:after="0"/>
              <w:rPr>
                <w:rFonts w:ascii="Arial" w:eastAsia="Calibri" w:hAnsi="Arial" w:cs="Arial"/>
                <w:sz w:val="18"/>
                <w:szCs w:val="18"/>
              </w:rPr>
            </w:pPr>
            <w:r w:rsidRPr="008D65A5">
              <w:rPr>
                <w:rFonts w:ascii="Arial" w:eastAsia="Calibri" w:hAnsi="Arial" w:cs="Arial"/>
                <w:sz w:val="18"/>
                <w:szCs w:val="18"/>
              </w:rPr>
              <w:t>UNIT</w:t>
            </w:r>
          </w:p>
        </w:tc>
      </w:tr>
      <w:tr w:rsidR="00A33460" w:rsidRPr="00E47E2E" w14:paraId="3534A98B" w14:textId="77777777" w:rsidTr="00A33460">
        <w:tc>
          <w:tcPr>
            <w:tcW w:w="2070" w:type="dxa"/>
          </w:tcPr>
          <w:p w14:paraId="1C8DDF9B" w14:textId="0151FA5C" w:rsidR="00A33460" w:rsidRPr="008D65A5" w:rsidRDefault="009B1765" w:rsidP="00A33460">
            <w:pPr>
              <w:tabs>
                <w:tab w:val="left" w:pos="432"/>
              </w:tabs>
              <w:spacing w:after="0"/>
              <w:rPr>
                <w:rFonts w:ascii="Arial" w:eastAsia="Calibri" w:hAnsi="Arial" w:cs="Arial"/>
                <w:sz w:val="18"/>
                <w:szCs w:val="18"/>
              </w:rPr>
            </w:pPr>
            <w:r w:rsidRPr="00D3765B">
              <w:rPr>
                <w:rFonts w:ascii="Arial" w:eastAsia="Calibri" w:hAnsi="Arial" w:cs="Arial"/>
                <w:sz w:val="18"/>
                <w:szCs w:val="18"/>
                <w:highlight w:val="yellow"/>
              </w:rPr>
              <w:t>SPV.0055.XXX</w:t>
            </w:r>
          </w:p>
        </w:tc>
        <w:tc>
          <w:tcPr>
            <w:tcW w:w="6390" w:type="dxa"/>
          </w:tcPr>
          <w:p w14:paraId="09C7FD3A" w14:textId="2E79C563" w:rsidR="00A33460" w:rsidRPr="008D65A5" w:rsidRDefault="00A33460" w:rsidP="00A33460">
            <w:pPr>
              <w:tabs>
                <w:tab w:val="left" w:pos="432"/>
              </w:tabs>
              <w:spacing w:after="0"/>
              <w:rPr>
                <w:rFonts w:ascii="Arial" w:eastAsia="Calibri" w:hAnsi="Arial" w:cs="Arial"/>
                <w:sz w:val="18"/>
                <w:szCs w:val="18"/>
              </w:rPr>
            </w:pPr>
            <w:r w:rsidRPr="008D65A5">
              <w:rPr>
                <w:rFonts w:ascii="Arial" w:hAnsi="Arial" w:cs="Arial"/>
                <w:sz w:val="18"/>
                <w:szCs w:val="18"/>
              </w:rPr>
              <w:t>Incentive Density HMA Pavement Longitudinal Joints</w:t>
            </w:r>
          </w:p>
        </w:tc>
        <w:tc>
          <w:tcPr>
            <w:tcW w:w="1514" w:type="dxa"/>
          </w:tcPr>
          <w:p w14:paraId="584A4B39" w14:textId="77777777" w:rsidR="00A33460" w:rsidRPr="008D65A5" w:rsidRDefault="00A33460" w:rsidP="00A33460">
            <w:pPr>
              <w:spacing w:after="0"/>
              <w:ind w:left="62"/>
              <w:rPr>
                <w:rFonts w:ascii="Arial" w:eastAsia="Calibri" w:hAnsi="Arial" w:cs="Arial"/>
                <w:sz w:val="18"/>
                <w:szCs w:val="18"/>
              </w:rPr>
            </w:pPr>
            <w:r w:rsidRPr="008D65A5">
              <w:rPr>
                <w:rFonts w:ascii="Arial" w:eastAsia="Calibri" w:hAnsi="Arial" w:cs="Arial"/>
                <w:sz w:val="18"/>
                <w:szCs w:val="18"/>
              </w:rPr>
              <w:t>DOL</w:t>
            </w:r>
          </w:p>
        </w:tc>
      </w:tr>
    </w:tbl>
    <w:bookmarkEnd w:id="4"/>
    <w:p w14:paraId="4882AC54" w14:textId="298468EA" w:rsidR="00A33460" w:rsidRPr="0071613F" w:rsidRDefault="00450383" w:rsidP="00A33460">
      <w:pPr>
        <w:autoSpaceDE w:val="0"/>
        <w:autoSpaceDN w:val="0"/>
        <w:adjustRightInd w:val="0"/>
        <w:spacing w:before="120" w:after="120"/>
        <w:rPr>
          <w:rFonts w:ascii="Arial" w:hAnsi="Arial" w:cs="Arial"/>
          <w:sz w:val="20"/>
          <w:szCs w:val="20"/>
        </w:rPr>
      </w:pPr>
      <w:r w:rsidRPr="0071613F">
        <w:rPr>
          <w:rFonts w:ascii="Arial" w:hAnsi="Arial" w:cs="Arial"/>
          <w:sz w:val="20"/>
          <w:szCs w:val="20"/>
        </w:rPr>
        <w:t>The department will administer disincentives under the Disincentive Density HMA Pavement Longitudinal Joints administrative item.</w:t>
      </w:r>
    </w:p>
    <w:p w14:paraId="496747C6" w14:textId="5D14BB59" w:rsidR="00541E74" w:rsidRPr="00A33460" w:rsidRDefault="00541E74" w:rsidP="00A33460">
      <w:pPr>
        <w:spacing w:before="120" w:after="120" w:line="276" w:lineRule="auto"/>
        <w:jc w:val="center"/>
        <w:rPr>
          <w:rFonts w:ascii="Arial" w:hAnsi="Arial" w:cs="Arial"/>
          <w:b/>
          <w:u w:val="single"/>
        </w:rPr>
      </w:pPr>
      <w:r w:rsidRPr="00A33460">
        <w:rPr>
          <w:rFonts w:ascii="Arial" w:hAnsi="Arial" w:cs="Arial"/>
          <w:b/>
        </w:rPr>
        <w:t>Appendix</w:t>
      </w:r>
    </w:p>
    <w:p w14:paraId="1A394CBA" w14:textId="5AC56E2C" w:rsidR="00541E74" w:rsidRPr="00A33460" w:rsidRDefault="00541E74" w:rsidP="00A33460">
      <w:pPr>
        <w:spacing w:before="120" w:after="120"/>
        <w:rPr>
          <w:rFonts w:ascii="Arial" w:hAnsi="Arial" w:cs="Arial"/>
          <w:b/>
          <w:u w:val="single"/>
        </w:rPr>
      </w:pPr>
      <w:r w:rsidRPr="00A33460">
        <w:rPr>
          <w:rFonts w:ascii="Arial" w:hAnsi="Arial" w:cs="Arial"/>
          <w:b/>
          <w:u w:val="single"/>
        </w:rPr>
        <w:t>WisDOT Longitudinal Joint –</w:t>
      </w:r>
      <w:r w:rsidR="00686D51">
        <w:rPr>
          <w:rFonts w:ascii="Arial" w:hAnsi="Arial" w:cs="Arial"/>
          <w:b/>
          <w:u w:val="single"/>
        </w:rPr>
        <w:t xml:space="preserve"> </w:t>
      </w:r>
      <w:r w:rsidR="000210FF">
        <w:rPr>
          <w:rFonts w:ascii="Arial" w:hAnsi="Arial" w:cs="Arial"/>
          <w:b/>
          <w:u w:val="single"/>
        </w:rPr>
        <w:t>Core</w:t>
      </w:r>
      <w:r w:rsidR="000210FF" w:rsidRPr="00A33460">
        <w:rPr>
          <w:rFonts w:ascii="Arial" w:hAnsi="Arial" w:cs="Arial"/>
          <w:b/>
          <w:u w:val="single"/>
        </w:rPr>
        <w:t xml:space="preserve"> </w:t>
      </w:r>
      <w:r w:rsidRPr="00A33460">
        <w:rPr>
          <w:rFonts w:ascii="Arial" w:hAnsi="Arial" w:cs="Arial"/>
          <w:b/>
          <w:u w:val="single"/>
        </w:rPr>
        <w:t>Density Layout</w:t>
      </w:r>
    </w:p>
    <w:p w14:paraId="16971275" w14:textId="11FF9A4E" w:rsidR="00541E74" w:rsidRDefault="00541E74" w:rsidP="00A33460">
      <w:pPr>
        <w:spacing w:before="120" w:after="120"/>
        <w:rPr>
          <w:rFonts w:ascii="Arial" w:hAnsi="Arial" w:cs="Arial"/>
          <w:sz w:val="20"/>
          <w:szCs w:val="20"/>
        </w:rPr>
      </w:pPr>
      <w:r w:rsidRPr="00D32842">
        <w:rPr>
          <w:rFonts w:ascii="Arial" w:hAnsi="Arial" w:cs="Arial"/>
          <w:sz w:val="20"/>
          <w:szCs w:val="20"/>
        </w:rPr>
        <w:t>Each</w:t>
      </w:r>
      <w:r w:rsidR="00E3795F">
        <w:rPr>
          <w:rFonts w:ascii="Arial" w:hAnsi="Arial" w:cs="Arial"/>
          <w:sz w:val="20"/>
          <w:szCs w:val="20"/>
        </w:rPr>
        <w:t xml:space="preserve"> mainline</w:t>
      </w:r>
      <w:r w:rsidR="009B1765">
        <w:rPr>
          <w:rFonts w:ascii="Arial" w:hAnsi="Arial" w:cs="Arial"/>
          <w:sz w:val="20"/>
          <w:szCs w:val="20"/>
        </w:rPr>
        <w:t xml:space="preserve"> </w:t>
      </w:r>
      <w:r w:rsidRPr="00D32842">
        <w:rPr>
          <w:rFonts w:ascii="Arial" w:hAnsi="Arial" w:cs="Arial"/>
          <w:sz w:val="20"/>
          <w:szCs w:val="20"/>
        </w:rPr>
        <w:t xml:space="preserve">QV density location </w:t>
      </w:r>
      <w:r>
        <w:rPr>
          <w:rFonts w:ascii="Arial" w:hAnsi="Arial" w:cs="Arial"/>
          <w:sz w:val="20"/>
          <w:szCs w:val="20"/>
        </w:rPr>
        <w:t>must</w:t>
      </w:r>
      <w:r w:rsidRPr="00D32842">
        <w:rPr>
          <w:rFonts w:ascii="Arial" w:hAnsi="Arial" w:cs="Arial"/>
          <w:sz w:val="20"/>
          <w:szCs w:val="20"/>
        </w:rPr>
        <w:t xml:space="preserve"> have a companion</w:t>
      </w:r>
      <w:r w:rsidR="00E3795F">
        <w:rPr>
          <w:rFonts w:ascii="Arial" w:hAnsi="Arial" w:cs="Arial"/>
          <w:sz w:val="20"/>
          <w:szCs w:val="20"/>
        </w:rPr>
        <w:t xml:space="preserve"> longitudinal joint</w:t>
      </w:r>
      <w:r w:rsidRPr="00D32842">
        <w:rPr>
          <w:rFonts w:ascii="Arial" w:hAnsi="Arial" w:cs="Arial"/>
          <w:sz w:val="20"/>
          <w:szCs w:val="20"/>
        </w:rPr>
        <w:t xml:space="preserve"> density location </w:t>
      </w:r>
      <w:r w:rsidR="00E3795F">
        <w:rPr>
          <w:rFonts w:ascii="Arial" w:hAnsi="Arial" w:cs="Arial"/>
          <w:sz w:val="20"/>
          <w:szCs w:val="20"/>
        </w:rPr>
        <w:t>for</w:t>
      </w:r>
      <w:r w:rsidR="00E3795F" w:rsidRPr="007B0BEF">
        <w:rPr>
          <w:rFonts w:ascii="Arial" w:hAnsi="Arial" w:cs="Arial"/>
          <w:sz w:val="20"/>
          <w:szCs w:val="20"/>
        </w:rPr>
        <w:t xml:space="preserve"> </w:t>
      </w:r>
      <w:r w:rsidRPr="007B0BEF">
        <w:rPr>
          <w:rFonts w:ascii="Arial" w:hAnsi="Arial" w:cs="Arial"/>
          <w:sz w:val="20"/>
          <w:szCs w:val="20"/>
        </w:rPr>
        <w:t>applicable joint</w:t>
      </w:r>
      <w:r w:rsidR="00E3795F">
        <w:rPr>
          <w:rFonts w:ascii="Arial" w:hAnsi="Arial" w:cs="Arial"/>
          <w:sz w:val="20"/>
          <w:szCs w:val="20"/>
        </w:rPr>
        <w:t>s</w:t>
      </w:r>
      <w:r w:rsidRPr="007B0BEF">
        <w:rPr>
          <w:rFonts w:ascii="Arial" w:hAnsi="Arial" w:cs="Arial"/>
          <w:sz w:val="20"/>
          <w:szCs w:val="20"/>
        </w:rPr>
        <w:t>.</w:t>
      </w:r>
      <w:r w:rsidRPr="00D32842">
        <w:rPr>
          <w:rFonts w:ascii="Arial" w:hAnsi="Arial" w:cs="Arial"/>
          <w:sz w:val="20"/>
          <w:szCs w:val="20"/>
        </w:rPr>
        <w:t xml:space="preserve"> This companion location share</w:t>
      </w:r>
      <w:r w:rsidR="00E3795F">
        <w:rPr>
          <w:rFonts w:ascii="Arial" w:hAnsi="Arial" w:cs="Arial"/>
          <w:sz w:val="20"/>
          <w:szCs w:val="20"/>
        </w:rPr>
        <w:t>s the</w:t>
      </w:r>
      <w:r w:rsidRPr="00D32842">
        <w:rPr>
          <w:rFonts w:ascii="Arial" w:hAnsi="Arial" w:cs="Arial"/>
          <w:sz w:val="20"/>
          <w:szCs w:val="20"/>
        </w:rPr>
        <w:t xml:space="preserve"> longitudinal stationing </w:t>
      </w:r>
      <w:r w:rsidR="00E3795F">
        <w:rPr>
          <w:rFonts w:ascii="Arial" w:hAnsi="Arial" w:cs="Arial"/>
          <w:sz w:val="20"/>
          <w:szCs w:val="20"/>
        </w:rPr>
        <w:t>for</w:t>
      </w:r>
      <w:r w:rsidR="00E3795F" w:rsidRPr="00D32842">
        <w:rPr>
          <w:rFonts w:ascii="Arial" w:hAnsi="Arial" w:cs="Arial"/>
          <w:sz w:val="20"/>
          <w:szCs w:val="20"/>
        </w:rPr>
        <w:t xml:space="preserve"> </w:t>
      </w:r>
      <w:r w:rsidRPr="00D32842">
        <w:rPr>
          <w:rFonts w:ascii="Arial" w:hAnsi="Arial" w:cs="Arial"/>
          <w:sz w:val="20"/>
          <w:szCs w:val="20"/>
        </w:rPr>
        <w:t>each</w:t>
      </w:r>
      <w:r w:rsidR="009B1765">
        <w:rPr>
          <w:rFonts w:ascii="Arial" w:hAnsi="Arial" w:cs="Arial"/>
          <w:sz w:val="20"/>
          <w:szCs w:val="20"/>
        </w:rPr>
        <w:t xml:space="preserve"> </w:t>
      </w:r>
      <w:r w:rsidRPr="00D32842">
        <w:rPr>
          <w:rFonts w:ascii="Arial" w:hAnsi="Arial" w:cs="Arial"/>
          <w:sz w:val="20"/>
          <w:szCs w:val="20"/>
        </w:rPr>
        <w:t>QV</w:t>
      </w:r>
      <w:r w:rsidR="00E3795F">
        <w:rPr>
          <w:rFonts w:ascii="Arial" w:hAnsi="Arial" w:cs="Arial"/>
          <w:sz w:val="20"/>
          <w:szCs w:val="20"/>
        </w:rPr>
        <w:t xml:space="preserve"> mainline</w:t>
      </w:r>
      <w:r w:rsidRPr="00D32842">
        <w:rPr>
          <w:rFonts w:ascii="Arial" w:hAnsi="Arial" w:cs="Arial"/>
          <w:sz w:val="20"/>
          <w:szCs w:val="20"/>
        </w:rPr>
        <w:t xml:space="preserve"> density location and </w:t>
      </w:r>
      <w:r w:rsidR="00E3795F">
        <w:rPr>
          <w:rFonts w:ascii="Arial" w:hAnsi="Arial" w:cs="Arial"/>
          <w:sz w:val="20"/>
          <w:szCs w:val="20"/>
        </w:rPr>
        <w:t>is</w:t>
      </w:r>
      <w:r w:rsidR="00E3795F" w:rsidRPr="00D32842">
        <w:rPr>
          <w:rFonts w:ascii="Arial" w:hAnsi="Arial" w:cs="Arial"/>
          <w:sz w:val="20"/>
          <w:szCs w:val="20"/>
        </w:rPr>
        <w:t xml:space="preserve"> </w:t>
      </w:r>
      <w:r w:rsidRPr="00D32842">
        <w:rPr>
          <w:rFonts w:ascii="Arial" w:hAnsi="Arial" w:cs="Arial"/>
          <w:sz w:val="20"/>
          <w:szCs w:val="20"/>
        </w:rPr>
        <w:t xml:space="preserve">located transversely with </w:t>
      </w:r>
      <w:r w:rsidRPr="00EC3CB8">
        <w:rPr>
          <w:rFonts w:ascii="Arial" w:hAnsi="Arial" w:cs="Arial"/>
          <w:sz w:val="20"/>
          <w:szCs w:val="20"/>
        </w:rPr>
        <w:t xml:space="preserve">the center of </w:t>
      </w:r>
      <w:r w:rsidRPr="009B1765">
        <w:rPr>
          <w:rFonts w:ascii="Arial" w:hAnsi="Arial" w:cs="Arial"/>
          <w:sz w:val="20"/>
          <w:szCs w:val="20"/>
        </w:rPr>
        <w:t xml:space="preserve">the </w:t>
      </w:r>
      <w:r w:rsidR="00830D3B" w:rsidRPr="009B1765">
        <w:rPr>
          <w:rFonts w:ascii="Arial" w:hAnsi="Arial" w:cs="Arial"/>
          <w:sz w:val="20"/>
          <w:szCs w:val="20"/>
        </w:rPr>
        <w:t xml:space="preserve">core </w:t>
      </w:r>
      <w:r w:rsidRPr="009B1765">
        <w:rPr>
          <w:rFonts w:ascii="Arial" w:hAnsi="Arial" w:cs="Arial"/>
          <w:sz w:val="20"/>
          <w:szCs w:val="20"/>
        </w:rPr>
        <w:t>6-inches from</w:t>
      </w:r>
      <w:r w:rsidRPr="00EC3CB8">
        <w:rPr>
          <w:rFonts w:ascii="Arial" w:hAnsi="Arial" w:cs="Arial"/>
          <w:sz w:val="20"/>
          <w:szCs w:val="20"/>
        </w:rPr>
        <w:t xml:space="preserve"> the </w:t>
      </w:r>
      <w:r w:rsidR="00245DBD">
        <w:rPr>
          <w:rFonts w:ascii="Arial" w:hAnsi="Arial" w:cs="Arial"/>
          <w:sz w:val="20"/>
          <w:szCs w:val="20"/>
        </w:rPr>
        <w:t>final joint edge</w:t>
      </w:r>
      <w:r w:rsidRPr="00EC3CB8">
        <w:rPr>
          <w:rFonts w:ascii="Arial" w:hAnsi="Arial" w:cs="Arial"/>
          <w:sz w:val="20"/>
          <w:szCs w:val="20"/>
        </w:rPr>
        <w:t xml:space="preserve"> of the paving area.</w:t>
      </w:r>
    </w:p>
    <w:p w14:paraId="2DD46234" w14:textId="77777777" w:rsidR="00A33460" w:rsidRDefault="00A33460" w:rsidP="00A33460">
      <w:pPr>
        <w:spacing w:before="120" w:after="120"/>
        <w:rPr>
          <w:rFonts w:ascii="Arial" w:hAnsi="Arial" w:cs="Arial"/>
          <w:b/>
          <w:sz w:val="20"/>
          <w:szCs w:val="20"/>
        </w:rPr>
      </w:pPr>
    </w:p>
    <w:p w14:paraId="05F327B2" w14:textId="090F5FA1" w:rsidR="00541E74" w:rsidRDefault="00541E74" w:rsidP="00A33460">
      <w:pPr>
        <w:spacing w:before="120" w:after="120"/>
        <w:rPr>
          <w:rFonts w:ascii="Arial" w:hAnsi="Arial" w:cs="Arial"/>
          <w:sz w:val="20"/>
          <w:szCs w:val="20"/>
        </w:rPr>
      </w:pPr>
      <w:r w:rsidRPr="00320CDD">
        <w:rPr>
          <w:rFonts w:ascii="Arial" w:hAnsi="Arial" w:cs="Arial"/>
          <w:b/>
          <w:sz w:val="20"/>
          <w:szCs w:val="20"/>
        </w:rPr>
        <w:t xml:space="preserve">For </w:t>
      </w:r>
      <w:r w:rsidRPr="00181981">
        <w:rPr>
          <w:rFonts w:ascii="Arial" w:hAnsi="Arial" w:cs="Arial"/>
          <w:b/>
          <w:sz w:val="20"/>
          <w:szCs w:val="20"/>
        </w:rPr>
        <w:t>HMA Pavement Percent Within Limits QMP</w:t>
      </w:r>
      <w:r>
        <w:rPr>
          <w:rFonts w:ascii="Arial" w:hAnsi="Arial" w:cs="Arial"/>
          <w:b/>
          <w:sz w:val="20"/>
          <w:szCs w:val="20"/>
        </w:rPr>
        <w:t xml:space="preserve"> </w:t>
      </w:r>
      <w:r w:rsidRPr="00320CDD">
        <w:rPr>
          <w:rFonts w:ascii="Arial" w:hAnsi="Arial" w:cs="Arial"/>
          <w:b/>
          <w:sz w:val="20"/>
          <w:szCs w:val="20"/>
        </w:rPr>
        <w:t>projects</w:t>
      </w:r>
      <w:r>
        <w:rPr>
          <w:rFonts w:ascii="Arial" w:hAnsi="Arial" w:cs="Arial"/>
          <w:sz w:val="20"/>
          <w:szCs w:val="20"/>
        </w:rPr>
        <w:t>, this appears as follows:</w:t>
      </w:r>
    </w:p>
    <w:p w14:paraId="187FFF53" w14:textId="15CF5C8F" w:rsidR="00541E74" w:rsidRDefault="00442148" w:rsidP="00541E74">
      <w:pPr>
        <w:jc w:val="center"/>
      </w:pPr>
      <w:r>
        <w:rPr>
          <w:noProof/>
        </w:rPr>
        <w:drawing>
          <wp:inline distT="0" distB="0" distL="0" distR="0" wp14:anchorId="50465F8A" wp14:editId="3C0680E2">
            <wp:extent cx="5943600" cy="3307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07715"/>
                    </a:xfrm>
                    <a:prstGeom prst="rect">
                      <a:avLst/>
                    </a:prstGeom>
                  </pic:spPr>
                </pic:pic>
              </a:graphicData>
            </a:graphic>
          </wp:inline>
        </w:drawing>
      </w:r>
    </w:p>
    <w:p w14:paraId="2B61C3F7" w14:textId="77777777" w:rsidR="0081196C" w:rsidRDefault="0081196C" w:rsidP="00A33460">
      <w:pPr>
        <w:ind w:left="-450"/>
        <w:jc w:val="center"/>
        <w:rPr>
          <w:rFonts w:ascii="Arial" w:hAnsi="Arial" w:cs="Arial"/>
          <w:b/>
          <w:sz w:val="20"/>
          <w:szCs w:val="20"/>
        </w:rPr>
      </w:pPr>
    </w:p>
    <w:p w14:paraId="2ADEE44D" w14:textId="2FA8BDDC" w:rsidR="00541E74" w:rsidRPr="00A33460" w:rsidRDefault="00541E74" w:rsidP="00A33460">
      <w:pPr>
        <w:ind w:left="-450"/>
        <w:jc w:val="center"/>
        <w:rPr>
          <w:rFonts w:ascii="Arial" w:hAnsi="Arial" w:cs="Arial"/>
          <w:b/>
          <w:sz w:val="20"/>
          <w:szCs w:val="20"/>
        </w:rPr>
      </w:pPr>
      <w:r w:rsidRPr="00A33460">
        <w:rPr>
          <w:rFonts w:ascii="Arial" w:hAnsi="Arial" w:cs="Arial"/>
          <w:b/>
          <w:sz w:val="20"/>
          <w:szCs w:val="20"/>
        </w:rPr>
        <w:lastRenderedPageBreak/>
        <w:t xml:space="preserve">Further Explanation of </w:t>
      </w:r>
      <w:r w:rsidRPr="00A33460">
        <w:rPr>
          <w:rFonts w:ascii="Arial" w:hAnsi="Arial" w:cs="Arial"/>
          <w:b/>
          <w:i/>
          <w:sz w:val="20"/>
          <w:szCs w:val="20"/>
        </w:rPr>
        <w:t>PAY ADJUSTMENT FOR HMA PAVEMENT LONGITUDINAL JOINT DENSITY</w:t>
      </w:r>
      <w:r w:rsidRPr="00A33460">
        <w:rPr>
          <w:rFonts w:ascii="Arial" w:hAnsi="Arial" w:cs="Arial"/>
          <w:b/>
          <w:sz w:val="20"/>
          <w:szCs w:val="20"/>
        </w:rPr>
        <w:t xml:space="preserve"> Table</w:t>
      </w:r>
    </w:p>
    <w:tbl>
      <w:tblPr>
        <w:tblW w:w="9522" w:type="dxa"/>
        <w:jc w:val="center"/>
        <w:tblLook w:val="04A0" w:firstRow="1" w:lastRow="0" w:firstColumn="1" w:lastColumn="0" w:noHBand="0" w:noVBand="1"/>
      </w:tblPr>
      <w:tblGrid>
        <w:gridCol w:w="2970"/>
        <w:gridCol w:w="1206"/>
        <w:gridCol w:w="1152"/>
        <w:gridCol w:w="1152"/>
        <w:gridCol w:w="1152"/>
        <w:gridCol w:w="1890"/>
      </w:tblGrid>
      <w:tr w:rsidR="00541E74" w:rsidRPr="00A33460" w14:paraId="52FB851D" w14:textId="77777777" w:rsidTr="0069211F">
        <w:trPr>
          <w:trHeight w:val="300"/>
          <w:jc w:val="center"/>
        </w:trPr>
        <w:tc>
          <w:tcPr>
            <w:tcW w:w="2970" w:type="dxa"/>
            <w:tcBorders>
              <w:top w:val="nil"/>
              <w:left w:val="nil"/>
              <w:bottom w:val="nil"/>
              <w:right w:val="nil"/>
            </w:tcBorders>
            <w:shd w:val="clear" w:color="auto" w:fill="auto"/>
            <w:noWrap/>
            <w:vAlign w:val="bottom"/>
            <w:hideMark/>
          </w:tcPr>
          <w:p w14:paraId="67318F71" w14:textId="77777777" w:rsidR="00541E74" w:rsidRPr="00A33460" w:rsidRDefault="00541E74" w:rsidP="00534AF9">
            <w:pPr>
              <w:spacing w:after="0" w:line="240" w:lineRule="auto"/>
              <w:rPr>
                <w:rFonts w:ascii="Arial" w:eastAsia="Times New Roman" w:hAnsi="Arial" w:cs="Arial"/>
                <w:sz w:val="18"/>
                <w:szCs w:val="18"/>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C554"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 xml:space="preserve">Confined </w:t>
            </w:r>
          </w:p>
        </w:tc>
        <w:tc>
          <w:tcPr>
            <w:tcW w:w="1890" w:type="dxa"/>
            <w:tcBorders>
              <w:left w:val="single" w:sz="4" w:space="0" w:color="auto"/>
            </w:tcBorders>
            <w:shd w:val="clear" w:color="auto" w:fill="auto"/>
            <w:noWrap/>
            <w:vAlign w:val="center"/>
            <w:hideMark/>
          </w:tcPr>
          <w:p w14:paraId="2F971B35"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 </w:t>
            </w:r>
          </w:p>
        </w:tc>
      </w:tr>
      <w:tr w:rsidR="00541E74" w:rsidRPr="00A33460" w14:paraId="19EA0F6C" w14:textId="77777777" w:rsidTr="0069211F">
        <w:trPr>
          <w:trHeight w:val="300"/>
          <w:jc w:val="center"/>
        </w:trPr>
        <w:tc>
          <w:tcPr>
            <w:tcW w:w="2970" w:type="dxa"/>
            <w:tcBorders>
              <w:top w:val="nil"/>
              <w:left w:val="nil"/>
              <w:bottom w:val="nil"/>
              <w:right w:val="nil"/>
            </w:tcBorders>
            <w:shd w:val="clear" w:color="auto" w:fill="auto"/>
            <w:noWrap/>
            <w:vAlign w:val="bottom"/>
            <w:hideMark/>
          </w:tcPr>
          <w:p w14:paraId="162E809B"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87056"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Lower Layer (On Base)</w:t>
            </w:r>
          </w:p>
        </w:tc>
        <w:tc>
          <w:tcPr>
            <w:tcW w:w="23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CA454C"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Upper Layer</w:t>
            </w:r>
          </w:p>
        </w:tc>
        <w:tc>
          <w:tcPr>
            <w:tcW w:w="1890" w:type="dxa"/>
            <w:tcBorders>
              <w:top w:val="nil"/>
              <w:left w:val="single" w:sz="4" w:space="0" w:color="auto"/>
              <w:bottom w:val="single" w:sz="4" w:space="0" w:color="auto"/>
            </w:tcBorders>
            <w:shd w:val="clear" w:color="auto" w:fill="auto"/>
            <w:noWrap/>
            <w:vAlign w:val="center"/>
            <w:hideMark/>
          </w:tcPr>
          <w:p w14:paraId="69D134F8"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 </w:t>
            </w:r>
          </w:p>
        </w:tc>
      </w:tr>
      <w:tr w:rsidR="00541E74" w:rsidRPr="00A33460" w14:paraId="6C77EF7C" w14:textId="77777777" w:rsidTr="0069211F">
        <w:trPr>
          <w:trHeight w:val="300"/>
          <w:jc w:val="center"/>
        </w:trPr>
        <w:tc>
          <w:tcPr>
            <w:tcW w:w="2970" w:type="dxa"/>
            <w:tcBorders>
              <w:top w:val="nil"/>
              <w:left w:val="nil"/>
              <w:bottom w:val="nil"/>
              <w:right w:val="nil"/>
            </w:tcBorders>
            <w:shd w:val="clear" w:color="auto" w:fill="auto"/>
            <w:noWrap/>
            <w:vAlign w:val="bottom"/>
            <w:hideMark/>
          </w:tcPr>
          <w:p w14:paraId="435E6957"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17FC16E9"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LT/MT</w:t>
            </w:r>
          </w:p>
        </w:tc>
        <w:tc>
          <w:tcPr>
            <w:tcW w:w="1152" w:type="dxa"/>
            <w:tcBorders>
              <w:top w:val="nil"/>
              <w:left w:val="nil"/>
              <w:bottom w:val="single" w:sz="4" w:space="0" w:color="auto"/>
              <w:right w:val="single" w:sz="4" w:space="0" w:color="auto"/>
            </w:tcBorders>
            <w:shd w:val="clear" w:color="auto" w:fill="auto"/>
            <w:noWrap/>
            <w:vAlign w:val="center"/>
            <w:hideMark/>
          </w:tcPr>
          <w:p w14:paraId="3D079620"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HT</w:t>
            </w:r>
          </w:p>
        </w:tc>
        <w:tc>
          <w:tcPr>
            <w:tcW w:w="1152" w:type="dxa"/>
            <w:tcBorders>
              <w:top w:val="nil"/>
              <w:left w:val="nil"/>
              <w:bottom w:val="single" w:sz="4" w:space="0" w:color="auto"/>
              <w:right w:val="single" w:sz="4" w:space="0" w:color="auto"/>
            </w:tcBorders>
            <w:shd w:val="clear" w:color="auto" w:fill="auto"/>
            <w:noWrap/>
            <w:vAlign w:val="center"/>
            <w:hideMark/>
          </w:tcPr>
          <w:p w14:paraId="67172D47"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LT/MT</w:t>
            </w:r>
          </w:p>
        </w:tc>
        <w:tc>
          <w:tcPr>
            <w:tcW w:w="1152" w:type="dxa"/>
            <w:tcBorders>
              <w:top w:val="nil"/>
              <w:left w:val="nil"/>
              <w:bottom w:val="single" w:sz="4" w:space="0" w:color="auto"/>
              <w:right w:val="single" w:sz="4" w:space="0" w:color="auto"/>
            </w:tcBorders>
            <w:shd w:val="clear" w:color="auto" w:fill="auto"/>
            <w:noWrap/>
            <w:vAlign w:val="center"/>
            <w:hideMark/>
          </w:tcPr>
          <w:p w14:paraId="7F30ECF5"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HT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2FF6FFD"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Pay Adjust</w:t>
            </w:r>
          </w:p>
        </w:tc>
      </w:tr>
      <w:tr w:rsidR="00541E74" w:rsidRPr="00A33460" w14:paraId="5B85F441" w14:textId="77777777" w:rsidTr="002A2BC3">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2B5930"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Mainline Target (SS 460-3)</w:t>
            </w:r>
          </w:p>
        </w:tc>
        <w:tc>
          <w:tcPr>
            <w:tcW w:w="1206" w:type="dxa"/>
            <w:tcBorders>
              <w:top w:val="nil"/>
              <w:left w:val="nil"/>
              <w:bottom w:val="single" w:sz="4" w:space="0" w:color="auto"/>
              <w:right w:val="single" w:sz="4" w:space="0" w:color="auto"/>
            </w:tcBorders>
            <w:shd w:val="clear" w:color="000000" w:fill="E7E6E6"/>
            <w:noWrap/>
            <w:vAlign w:val="center"/>
            <w:hideMark/>
          </w:tcPr>
          <w:p w14:paraId="2A096B11"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91.0</w:t>
            </w:r>
          </w:p>
        </w:tc>
        <w:tc>
          <w:tcPr>
            <w:tcW w:w="1152" w:type="dxa"/>
            <w:tcBorders>
              <w:top w:val="nil"/>
              <w:left w:val="nil"/>
              <w:bottom w:val="single" w:sz="4" w:space="0" w:color="auto"/>
              <w:right w:val="single" w:sz="4" w:space="0" w:color="auto"/>
            </w:tcBorders>
            <w:shd w:val="clear" w:color="000000" w:fill="E7E6E6"/>
            <w:noWrap/>
            <w:vAlign w:val="center"/>
            <w:hideMark/>
          </w:tcPr>
          <w:p w14:paraId="465D42D8"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92.0</w:t>
            </w:r>
          </w:p>
        </w:tc>
        <w:tc>
          <w:tcPr>
            <w:tcW w:w="1152" w:type="dxa"/>
            <w:tcBorders>
              <w:top w:val="nil"/>
              <w:left w:val="nil"/>
              <w:bottom w:val="single" w:sz="4" w:space="0" w:color="auto"/>
              <w:right w:val="single" w:sz="4" w:space="0" w:color="auto"/>
            </w:tcBorders>
            <w:shd w:val="clear" w:color="000000" w:fill="E7E6E6"/>
            <w:noWrap/>
            <w:vAlign w:val="center"/>
            <w:hideMark/>
          </w:tcPr>
          <w:p w14:paraId="02DA1FE1"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93.0</w:t>
            </w:r>
          </w:p>
        </w:tc>
        <w:tc>
          <w:tcPr>
            <w:tcW w:w="1152" w:type="dxa"/>
            <w:tcBorders>
              <w:top w:val="nil"/>
              <w:left w:val="nil"/>
              <w:bottom w:val="single" w:sz="4" w:space="0" w:color="auto"/>
              <w:right w:val="single" w:sz="4" w:space="0" w:color="auto"/>
            </w:tcBorders>
            <w:shd w:val="clear" w:color="000000" w:fill="E7E6E6"/>
            <w:noWrap/>
            <w:vAlign w:val="center"/>
            <w:hideMark/>
          </w:tcPr>
          <w:p w14:paraId="0505B230"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93.0</w:t>
            </w:r>
          </w:p>
        </w:tc>
        <w:tc>
          <w:tcPr>
            <w:tcW w:w="1890" w:type="dxa"/>
            <w:tcBorders>
              <w:top w:val="nil"/>
              <w:left w:val="nil"/>
              <w:bottom w:val="single" w:sz="4" w:space="0" w:color="auto"/>
              <w:right w:val="single" w:sz="4" w:space="0" w:color="auto"/>
            </w:tcBorders>
            <w:shd w:val="clear" w:color="000000" w:fill="E7E6E6"/>
            <w:noWrap/>
            <w:vAlign w:val="center"/>
            <w:hideMark/>
          </w:tcPr>
          <w:p w14:paraId="46919EC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w:t>
            </w:r>
          </w:p>
        </w:tc>
      </w:tr>
      <w:tr w:rsidR="00541E74" w:rsidRPr="00A33460" w14:paraId="6EB60472"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000000" w:fill="C6E0B4"/>
            <w:noWrap/>
            <w:vAlign w:val="center"/>
            <w:hideMark/>
          </w:tcPr>
          <w:p w14:paraId="3CF851B5"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Confined Target (mainline - 1.5)</w:t>
            </w:r>
          </w:p>
        </w:tc>
        <w:tc>
          <w:tcPr>
            <w:tcW w:w="1206" w:type="dxa"/>
            <w:tcBorders>
              <w:top w:val="nil"/>
              <w:left w:val="nil"/>
              <w:bottom w:val="single" w:sz="4" w:space="0" w:color="auto"/>
              <w:right w:val="single" w:sz="4" w:space="0" w:color="auto"/>
            </w:tcBorders>
            <w:shd w:val="clear" w:color="000000" w:fill="C6E0B4"/>
            <w:noWrap/>
            <w:vAlign w:val="center"/>
            <w:hideMark/>
          </w:tcPr>
          <w:p w14:paraId="1D635C68"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89.5</w:t>
            </w:r>
          </w:p>
        </w:tc>
        <w:tc>
          <w:tcPr>
            <w:tcW w:w="1152" w:type="dxa"/>
            <w:tcBorders>
              <w:top w:val="nil"/>
              <w:left w:val="nil"/>
              <w:bottom w:val="single" w:sz="4" w:space="0" w:color="auto"/>
              <w:right w:val="single" w:sz="4" w:space="0" w:color="auto"/>
            </w:tcBorders>
            <w:shd w:val="clear" w:color="000000" w:fill="C6E0B4"/>
            <w:noWrap/>
            <w:vAlign w:val="center"/>
            <w:hideMark/>
          </w:tcPr>
          <w:p w14:paraId="07DCB87C"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90.5</w:t>
            </w:r>
          </w:p>
        </w:tc>
        <w:tc>
          <w:tcPr>
            <w:tcW w:w="1152" w:type="dxa"/>
            <w:tcBorders>
              <w:top w:val="nil"/>
              <w:left w:val="nil"/>
              <w:bottom w:val="single" w:sz="4" w:space="0" w:color="auto"/>
              <w:right w:val="single" w:sz="4" w:space="0" w:color="auto"/>
            </w:tcBorders>
            <w:shd w:val="clear" w:color="000000" w:fill="C6E0B4"/>
            <w:noWrap/>
            <w:vAlign w:val="center"/>
            <w:hideMark/>
          </w:tcPr>
          <w:p w14:paraId="399E1117"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91.5</w:t>
            </w:r>
          </w:p>
        </w:tc>
        <w:tc>
          <w:tcPr>
            <w:tcW w:w="1152" w:type="dxa"/>
            <w:tcBorders>
              <w:top w:val="nil"/>
              <w:left w:val="nil"/>
              <w:bottom w:val="single" w:sz="4" w:space="0" w:color="auto"/>
              <w:right w:val="single" w:sz="4" w:space="0" w:color="auto"/>
            </w:tcBorders>
            <w:shd w:val="clear" w:color="000000" w:fill="C6E0B4"/>
            <w:noWrap/>
            <w:vAlign w:val="center"/>
            <w:hideMark/>
          </w:tcPr>
          <w:p w14:paraId="000260FF"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91.5</w:t>
            </w:r>
          </w:p>
        </w:tc>
        <w:tc>
          <w:tcPr>
            <w:tcW w:w="1890" w:type="dxa"/>
            <w:tcBorders>
              <w:top w:val="nil"/>
              <w:left w:val="nil"/>
              <w:bottom w:val="single" w:sz="4" w:space="0" w:color="auto"/>
              <w:right w:val="single" w:sz="4" w:space="0" w:color="auto"/>
            </w:tcBorders>
            <w:shd w:val="clear" w:color="000000" w:fill="C6E0B4"/>
            <w:noWrap/>
            <w:vAlign w:val="center"/>
            <w:hideMark/>
          </w:tcPr>
          <w:p w14:paraId="764FCE9B"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w:t>
            </w:r>
          </w:p>
        </w:tc>
      </w:tr>
      <w:tr w:rsidR="00541E74" w:rsidRPr="00A33460" w14:paraId="5B16142B"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7D58605" w14:textId="4C9638F9" w:rsidR="00541E74" w:rsidRPr="00A33460" w:rsidRDefault="00EC3CB8"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 xml:space="preserve">Equal to or greater </w:t>
            </w:r>
            <w:r w:rsidR="00541E74" w:rsidRPr="00A33460">
              <w:rPr>
                <w:rFonts w:ascii="Arial" w:eastAsia="Times New Roman" w:hAnsi="Arial" w:cs="Arial"/>
                <w:color w:val="000000"/>
                <w:sz w:val="18"/>
                <w:szCs w:val="18"/>
              </w:rPr>
              <w:t>than +1.0</w:t>
            </w:r>
          </w:p>
        </w:tc>
        <w:tc>
          <w:tcPr>
            <w:tcW w:w="1206" w:type="dxa"/>
            <w:tcBorders>
              <w:top w:val="nil"/>
              <w:left w:val="nil"/>
              <w:bottom w:val="single" w:sz="4" w:space="0" w:color="auto"/>
              <w:right w:val="single" w:sz="4" w:space="0" w:color="auto"/>
            </w:tcBorders>
            <w:shd w:val="clear" w:color="auto" w:fill="auto"/>
            <w:noWrap/>
            <w:vAlign w:val="center"/>
            <w:hideMark/>
          </w:tcPr>
          <w:p w14:paraId="35834A5B"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90.5</w:t>
            </w:r>
          </w:p>
        </w:tc>
        <w:tc>
          <w:tcPr>
            <w:tcW w:w="1152" w:type="dxa"/>
            <w:tcBorders>
              <w:top w:val="nil"/>
              <w:left w:val="nil"/>
              <w:bottom w:val="single" w:sz="4" w:space="0" w:color="auto"/>
              <w:right w:val="single" w:sz="4" w:space="0" w:color="auto"/>
            </w:tcBorders>
            <w:shd w:val="clear" w:color="auto" w:fill="auto"/>
            <w:noWrap/>
            <w:vAlign w:val="center"/>
            <w:hideMark/>
          </w:tcPr>
          <w:p w14:paraId="08C8450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91.5</w:t>
            </w:r>
          </w:p>
        </w:tc>
        <w:tc>
          <w:tcPr>
            <w:tcW w:w="1152" w:type="dxa"/>
            <w:tcBorders>
              <w:top w:val="nil"/>
              <w:left w:val="nil"/>
              <w:bottom w:val="single" w:sz="4" w:space="0" w:color="auto"/>
              <w:right w:val="single" w:sz="4" w:space="0" w:color="auto"/>
            </w:tcBorders>
            <w:shd w:val="clear" w:color="auto" w:fill="auto"/>
            <w:noWrap/>
            <w:vAlign w:val="center"/>
            <w:hideMark/>
          </w:tcPr>
          <w:p w14:paraId="060DBBD9"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92.5</w:t>
            </w:r>
          </w:p>
        </w:tc>
        <w:tc>
          <w:tcPr>
            <w:tcW w:w="1152" w:type="dxa"/>
            <w:tcBorders>
              <w:top w:val="nil"/>
              <w:left w:val="nil"/>
              <w:bottom w:val="single" w:sz="4" w:space="0" w:color="auto"/>
              <w:right w:val="single" w:sz="4" w:space="0" w:color="auto"/>
            </w:tcBorders>
            <w:shd w:val="clear" w:color="auto" w:fill="auto"/>
            <w:noWrap/>
            <w:vAlign w:val="center"/>
            <w:hideMark/>
          </w:tcPr>
          <w:p w14:paraId="57EC292E"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92.5</w:t>
            </w:r>
          </w:p>
        </w:tc>
        <w:tc>
          <w:tcPr>
            <w:tcW w:w="1890" w:type="dxa"/>
            <w:tcBorders>
              <w:top w:val="nil"/>
              <w:left w:val="nil"/>
              <w:bottom w:val="single" w:sz="4" w:space="0" w:color="auto"/>
              <w:right w:val="single" w:sz="4" w:space="0" w:color="auto"/>
            </w:tcBorders>
            <w:shd w:val="clear" w:color="auto" w:fill="auto"/>
            <w:noWrap/>
            <w:vAlign w:val="center"/>
            <w:hideMark/>
          </w:tcPr>
          <w:p w14:paraId="19F4B024" w14:textId="4F1E9298"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w:t>
            </w:r>
            <w:r w:rsidR="00940307">
              <w:rPr>
                <w:rFonts w:ascii="Arial" w:eastAsia="Times New Roman" w:hAnsi="Arial" w:cs="Arial"/>
                <w:sz w:val="18"/>
                <w:szCs w:val="18"/>
              </w:rPr>
              <w:t>2</w:t>
            </w:r>
            <w:r w:rsidRPr="009B1765">
              <w:rPr>
                <w:rFonts w:ascii="Arial" w:eastAsia="Times New Roman" w:hAnsi="Arial" w:cs="Arial"/>
                <w:sz w:val="18"/>
                <w:szCs w:val="18"/>
              </w:rPr>
              <w:t xml:space="preserve">0 </w:t>
            </w:r>
          </w:p>
        </w:tc>
      </w:tr>
      <w:tr w:rsidR="00541E74" w:rsidRPr="00A33460" w14:paraId="16E06623"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9108D36" w14:textId="410B0172"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0.0 to +</w:t>
            </w:r>
            <w:r w:rsidR="0010535D" w:rsidRPr="00A33460">
              <w:rPr>
                <w:rFonts w:ascii="Arial" w:eastAsia="Times New Roman" w:hAnsi="Arial" w:cs="Arial"/>
                <w:color w:val="000000"/>
                <w:sz w:val="18"/>
                <w:szCs w:val="18"/>
              </w:rPr>
              <w:t>0</w:t>
            </w:r>
            <w:r w:rsidRPr="00A33460">
              <w:rPr>
                <w:rFonts w:ascii="Arial" w:eastAsia="Times New Roman" w:hAnsi="Arial" w:cs="Arial"/>
                <w:color w:val="000000"/>
                <w:sz w:val="18"/>
                <w:szCs w:val="18"/>
              </w:rPr>
              <w:t>.</w:t>
            </w:r>
            <w:r w:rsidR="0010535D" w:rsidRPr="00A33460">
              <w:rPr>
                <w:rFonts w:ascii="Arial" w:eastAsia="Times New Roman" w:hAnsi="Arial" w:cs="Arial"/>
                <w:color w:val="000000"/>
                <w:sz w:val="18"/>
                <w:szCs w:val="18"/>
              </w:rPr>
              <w:t>9</w:t>
            </w:r>
          </w:p>
        </w:tc>
        <w:tc>
          <w:tcPr>
            <w:tcW w:w="1206" w:type="dxa"/>
            <w:tcBorders>
              <w:top w:val="nil"/>
              <w:left w:val="nil"/>
              <w:bottom w:val="single" w:sz="4" w:space="0" w:color="auto"/>
              <w:right w:val="single" w:sz="4" w:space="0" w:color="auto"/>
            </w:tcBorders>
            <w:shd w:val="clear" w:color="auto" w:fill="auto"/>
            <w:noWrap/>
            <w:vAlign w:val="center"/>
            <w:hideMark/>
          </w:tcPr>
          <w:p w14:paraId="0B06376C"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0888E5CE" w14:textId="7134A9DE"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91.4 - 90.5</w:t>
            </w:r>
          </w:p>
        </w:tc>
        <w:tc>
          <w:tcPr>
            <w:tcW w:w="1152" w:type="dxa"/>
            <w:tcBorders>
              <w:top w:val="nil"/>
              <w:left w:val="nil"/>
              <w:bottom w:val="single" w:sz="4" w:space="0" w:color="auto"/>
              <w:right w:val="single" w:sz="4" w:space="0" w:color="auto"/>
            </w:tcBorders>
            <w:shd w:val="clear" w:color="auto" w:fill="auto"/>
            <w:noWrap/>
            <w:vAlign w:val="center"/>
            <w:hideMark/>
          </w:tcPr>
          <w:p w14:paraId="06E4D2D3" w14:textId="0C659C24"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92.4 - 91.5</w:t>
            </w:r>
          </w:p>
        </w:tc>
        <w:tc>
          <w:tcPr>
            <w:tcW w:w="1152" w:type="dxa"/>
            <w:tcBorders>
              <w:top w:val="nil"/>
              <w:left w:val="nil"/>
              <w:bottom w:val="single" w:sz="4" w:space="0" w:color="auto"/>
              <w:right w:val="single" w:sz="4" w:space="0" w:color="auto"/>
            </w:tcBorders>
            <w:shd w:val="clear" w:color="auto" w:fill="auto"/>
            <w:noWrap/>
            <w:vAlign w:val="center"/>
            <w:hideMark/>
          </w:tcPr>
          <w:p w14:paraId="1378AAF8" w14:textId="3123D989"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92.4 - 91.5</w:t>
            </w:r>
          </w:p>
        </w:tc>
        <w:tc>
          <w:tcPr>
            <w:tcW w:w="1890" w:type="dxa"/>
            <w:tcBorders>
              <w:top w:val="nil"/>
              <w:left w:val="nil"/>
              <w:bottom w:val="single" w:sz="4" w:space="0" w:color="auto"/>
              <w:right w:val="single" w:sz="4" w:space="0" w:color="auto"/>
            </w:tcBorders>
            <w:shd w:val="clear" w:color="auto" w:fill="auto"/>
            <w:noWrap/>
            <w:vAlign w:val="center"/>
            <w:hideMark/>
          </w:tcPr>
          <w:p w14:paraId="1743960E"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 xml:space="preserve">$0 </w:t>
            </w:r>
          </w:p>
        </w:tc>
      </w:tr>
      <w:tr w:rsidR="00541E74" w:rsidRPr="00A33460" w14:paraId="1E27B8D0"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9BB1865"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 xml:space="preserve">From -0.1 to -1.0 </w:t>
            </w:r>
          </w:p>
        </w:tc>
        <w:tc>
          <w:tcPr>
            <w:tcW w:w="1206" w:type="dxa"/>
            <w:tcBorders>
              <w:top w:val="nil"/>
              <w:left w:val="nil"/>
              <w:bottom w:val="single" w:sz="4" w:space="0" w:color="auto"/>
              <w:right w:val="single" w:sz="4" w:space="0" w:color="auto"/>
            </w:tcBorders>
            <w:shd w:val="clear" w:color="auto" w:fill="auto"/>
            <w:noWrap/>
            <w:vAlign w:val="center"/>
            <w:hideMark/>
          </w:tcPr>
          <w:p w14:paraId="59A39FB3"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75327B07"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2CA6B60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91.4 - 90.5</w:t>
            </w:r>
          </w:p>
        </w:tc>
        <w:tc>
          <w:tcPr>
            <w:tcW w:w="1152" w:type="dxa"/>
            <w:tcBorders>
              <w:top w:val="nil"/>
              <w:left w:val="nil"/>
              <w:bottom w:val="single" w:sz="4" w:space="0" w:color="auto"/>
              <w:right w:val="single" w:sz="4" w:space="0" w:color="auto"/>
            </w:tcBorders>
            <w:shd w:val="clear" w:color="auto" w:fill="auto"/>
            <w:noWrap/>
            <w:vAlign w:val="center"/>
            <w:hideMark/>
          </w:tcPr>
          <w:p w14:paraId="12A2E9F7"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91.4 - 90.5</w:t>
            </w:r>
          </w:p>
        </w:tc>
        <w:tc>
          <w:tcPr>
            <w:tcW w:w="1890" w:type="dxa"/>
            <w:tcBorders>
              <w:top w:val="nil"/>
              <w:left w:val="nil"/>
              <w:bottom w:val="single" w:sz="4" w:space="0" w:color="auto"/>
              <w:right w:val="single" w:sz="4" w:space="0" w:color="auto"/>
            </w:tcBorders>
            <w:shd w:val="clear" w:color="auto" w:fill="auto"/>
            <w:noWrap/>
            <w:vAlign w:val="center"/>
            <w:hideMark/>
          </w:tcPr>
          <w:p w14:paraId="0EF66906"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($0.20)</w:t>
            </w:r>
          </w:p>
        </w:tc>
      </w:tr>
      <w:tr w:rsidR="00541E74" w:rsidRPr="00A33460" w14:paraId="576FA456"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4E9CECA"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-1.1 to -2.0</w:t>
            </w:r>
          </w:p>
        </w:tc>
        <w:tc>
          <w:tcPr>
            <w:tcW w:w="1206" w:type="dxa"/>
            <w:tcBorders>
              <w:top w:val="nil"/>
              <w:left w:val="nil"/>
              <w:bottom w:val="single" w:sz="4" w:space="0" w:color="auto"/>
              <w:right w:val="single" w:sz="4" w:space="0" w:color="auto"/>
            </w:tcBorders>
            <w:shd w:val="clear" w:color="auto" w:fill="auto"/>
            <w:noWrap/>
            <w:vAlign w:val="center"/>
            <w:hideMark/>
          </w:tcPr>
          <w:p w14:paraId="48AF034F"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88.4 - 87.5</w:t>
            </w:r>
          </w:p>
        </w:tc>
        <w:tc>
          <w:tcPr>
            <w:tcW w:w="1152" w:type="dxa"/>
            <w:tcBorders>
              <w:top w:val="nil"/>
              <w:left w:val="nil"/>
              <w:bottom w:val="single" w:sz="4" w:space="0" w:color="auto"/>
              <w:right w:val="single" w:sz="4" w:space="0" w:color="auto"/>
            </w:tcBorders>
            <w:shd w:val="clear" w:color="auto" w:fill="auto"/>
            <w:noWrap/>
            <w:vAlign w:val="center"/>
            <w:hideMark/>
          </w:tcPr>
          <w:p w14:paraId="7D1EC523"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207DCEF2"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1578DDE0"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90.4 - 89.5</w:t>
            </w:r>
          </w:p>
        </w:tc>
        <w:tc>
          <w:tcPr>
            <w:tcW w:w="1890" w:type="dxa"/>
            <w:tcBorders>
              <w:top w:val="nil"/>
              <w:left w:val="nil"/>
              <w:bottom w:val="single" w:sz="4" w:space="0" w:color="auto"/>
              <w:right w:val="single" w:sz="4" w:space="0" w:color="auto"/>
            </w:tcBorders>
            <w:shd w:val="clear" w:color="auto" w:fill="auto"/>
            <w:noWrap/>
            <w:vAlign w:val="center"/>
            <w:hideMark/>
          </w:tcPr>
          <w:p w14:paraId="58E4AA8C"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($0.40)</w:t>
            </w:r>
          </w:p>
        </w:tc>
      </w:tr>
      <w:tr w:rsidR="00541E74" w:rsidRPr="00A33460" w14:paraId="5DDE8E76"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1004B29" w14:textId="5E4338D8"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-2.</w:t>
            </w:r>
            <w:r w:rsidR="00273344" w:rsidRPr="00A33460">
              <w:rPr>
                <w:rFonts w:ascii="Arial" w:eastAsia="Times New Roman" w:hAnsi="Arial" w:cs="Arial"/>
                <w:color w:val="000000"/>
                <w:sz w:val="18"/>
                <w:szCs w:val="18"/>
              </w:rPr>
              <w:t>1</w:t>
            </w:r>
            <w:r w:rsidRPr="00A33460">
              <w:rPr>
                <w:rFonts w:ascii="Arial" w:eastAsia="Times New Roman" w:hAnsi="Arial" w:cs="Arial"/>
                <w:color w:val="000000"/>
                <w:sz w:val="18"/>
                <w:szCs w:val="18"/>
              </w:rPr>
              <w:t xml:space="preserve"> to -3.0</w:t>
            </w:r>
          </w:p>
        </w:tc>
        <w:tc>
          <w:tcPr>
            <w:tcW w:w="1206" w:type="dxa"/>
            <w:tcBorders>
              <w:top w:val="nil"/>
              <w:left w:val="nil"/>
              <w:bottom w:val="single" w:sz="4" w:space="0" w:color="auto"/>
              <w:right w:val="single" w:sz="4" w:space="0" w:color="auto"/>
            </w:tcBorders>
            <w:shd w:val="clear" w:color="auto" w:fill="auto"/>
            <w:noWrap/>
            <w:vAlign w:val="center"/>
            <w:hideMark/>
          </w:tcPr>
          <w:p w14:paraId="33504E85"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87.4 - 86.5</w:t>
            </w:r>
          </w:p>
        </w:tc>
        <w:tc>
          <w:tcPr>
            <w:tcW w:w="1152" w:type="dxa"/>
            <w:tcBorders>
              <w:top w:val="nil"/>
              <w:left w:val="nil"/>
              <w:bottom w:val="single" w:sz="4" w:space="0" w:color="auto"/>
              <w:right w:val="single" w:sz="4" w:space="0" w:color="auto"/>
            </w:tcBorders>
            <w:shd w:val="clear" w:color="auto" w:fill="auto"/>
            <w:noWrap/>
            <w:vAlign w:val="center"/>
            <w:hideMark/>
          </w:tcPr>
          <w:p w14:paraId="2AE10A14"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88.4 - 87.5</w:t>
            </w:r>
          </w:p>
        </w:tc>
        <w:tc>
          <w:tcPr>
            <w:tcW w:w="1152" w:type="dxa"/>
            <w:tcBorders>
              <w:top w:val="nil"/>
              <w:left w:val="nil"/>
              <w:bottom w:val="single" w:sz="4" w:space="0" w:color="auto"/>
              <w:right w:val="single" w:sz="4" w:space="0" w:color="auto"/>
            </w:tcBorders>
            <w:shd w:val="clear" w:color="auto" w:fill="auto"/>
            <w:noWrap/>
            <w:vAlign w:val="center"/>
            <w:hideMark/>
          </w:tcPr>
          <w:p w14:paraId="164C58DE"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09F9E796"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89.4 - 88.5</w:t>
            </w:r>
          </w:p>
        </w:tc>
        <w:tc>
          <w:tcPr>
            <w:tcW w:w="1890" w:type="dxa"/>
            <w:tcBorders>
              <w:top w:val="nil"/>
              <w:left w:val="nil"/>
              <w:bottom w:val="single" w:sz="4" w:space="0" w:color="auto"/>
              <w:right w:val="single" w:sz="4" w:space="0" w:color="auto"/>
            </w:tcBorders>
            <w:shd w:val="clear" w:color="auto" w:fill="auto"/>
            <w:noWrap/>
            <w:vAlign w:val="center"/>
            <w:hideMark/>
          </w:tcPr>
          <w:p w14:paraId="53361C0A"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($0.80)</w:t>
            </w:r>
          </w:p>
        </w:tc>
      </w:tr>
      <w:tr w:rsidR="00541E74" w:rsidRPr="00A33460" w14:paraId="053A861C"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E0C351C"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More than -3.0</w:t>
            </w:r>
          </w:p>
        </w:tc>
        <w:tc>
          <w:tcPr>
            <w:tcW w:w="1206" w:type="dxa"/>
            <w:tcBorders>
              <w:top w:val="nil"/>
              <w:left w:val="nil"/>
              <w:bottom w:val="single" w:sz="4" w:space="0" w:color="auto"/>
              <w:right w:val="single" w:sz="4" w:space="0" w:color="auto"/>
            </w:tcBorders>
            <w:shd w:val="clear" w:color="auto" w:fill="auto"/>
            <w:noWrap/>
            <w:vAlign w:val="center"/>
            <w:hideMark/>
          </w:tcPr>
          <w:p w14:paraId="755E50C1"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86.5</w:t>
            </w:r>
          </w:p>
        </w:tc>
        <w:tc>
          <w:tcPr>
            <w:tcW w:w="1152" w:type="dxa"/>
            <w:tcBorders>
              <w:top w:val="nil"/>
              <w:left w:val="nil"/>
              <w:bottom w:val="single" w:sz="4" w:space="0" w:color="auto"/>
              <w:right w:val="single" w:sz="4" w:space="0" w:color="auto"/>
            </w:tcBorders>
            <w:shd w:val="clear" w:color="auto" w:fill="auto"/>
            <w:noWrap/>
            <w:vAlign w:val="center"/>
            <w:hideMark/>
          </w:tcPr>
          <w:p w14:paraId="3E4CF74C"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87.5</w:t>
            </w:r>
          </w:p>
        </w:tc>
        <w:tc>
          <w:tcPr>
            <w:tcW w:w="1152" w:type="dxa"/>
            <w:tcBorders>
              <w:top w:val="nil"/>
              <w:left w:val="nil"/>
              <w:bottom w:val="single" w:sz="4" w:space="0" w:color="auto"/>
              <w:right w:val="single" w:sz="4" w:space="0" w:color="auto"/>
            </w:tcBorders>
            <w:shd w:val="clear" w:color="auto" w:fill="auto"/>
            <w:noWrap/>
            <w:vAlign w:val="center"/>
            <w:hideMark/>
          </w:tcPr>
          <w:p w14:paraId="29B7E9C4"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88.5</w:t>
            </w:r>
          </w:p>
        </w:tc>
        <w:tc>
          <w:tcPr>
            <w:tcW w:w="1152" w:type="dxa"/>
            <w:tcBorders>
              <w:top w:val="nil"/>
              <w:left w:val="nil"/>
              <w:bottom w:val="single" w:sz="4" w:space="0" w:color="auto"/>
              <w:right w:val="single" w:sz="4" w:space="0" w:color="auto"/>
            </w:tcBorders>
            <w:shd w:val="clear" w:color="auto" w:fill="auto"/>
            <w:noWrap/>
            <w:vAlign w:val="center"/>
            <w:hideMark/>
          </w:tcPr>
          <w:p w14:paraId="0F8FBEC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88.5</w:t>
            </w:r>
          </w:p>
        </w:tc>
        <w:tc>
          <w:tcPr>
            <w:tcW w:w="1890" w:type="dxa"/>
            <w:tcBorders>
              <w:top w:val="nil"/>
              <w:left w:val="nil"/>
              <w:bottom w:val="single" w:sz="4" w:space="0" w:color="auto"/>
              <w:right w:val="single" w:sz="4" w:space="0" w:color="auto"/>
            </w:tcBorders>
            <w:shd w:val="clear" w:color="auto" w:fill="auto"/>
            <w:noWrap/>
            <w:vAlign w:val="center"/>
            <w:hideMark/>
          </w:tcPr>
          <w:p w14:paraId="18977399" w14:textId="53E8ACC8"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REMEDIAL ACTION</w:t>
            </w:r>
          </w:p>
        </w:tc>
      </w:tr>
      <w:tr w:rsidR="00541E74" w:rsidRPr="00A33460" w14:paraId="4FE535CD" w14:textId="77777777" w:rsidTr="002A2BC3">
        <w:trPr>
          <w:trHeight w:val="300"/>
          <w:jc w:val="center"/>
        </w:trPr>
        <w:tc>
          <w:tcPr>
            <w:tcW w:w="2970" w:type="dxa"/>
            <w:tcBorders>
              <w:top w:val="nil"/>
              <w:left w:val="nil"/>
              <w:bottom w:val="nil"/>
              <w:right w:val="nil"/>
            </w:tcBorders>
            <w:shd w:val="clear" w:color="auto" w:fill="auto"/>
            <w:noWrap/>
            <w:vAlign w:val="center"/>
            <w:hideMark/>
          </w:tcPr>
          <w:p w14:paraId="31378543" w14:textId="77777777" w:rsidR="00541E74" w:rsidRPr="00A33460" w:rsidRDefault="00541E74" w:rsidP="00534AF9">
            <w:pPr>
              <w:spacing w:after="0" w:line="240" w:lineRule="auto"/>
              <w:jc w:val="center"/>
              <w:rPr>
                <w:rFonts w:ascii="Arial" w:eastAsia="Times New Roman" w:hAnsi="Arial" w:cs="Arial"/>
                <w:color w:val="000000"/>
                <w:sz w:val="18"/>
                <w:szCs w:val="18"/>
              </w:rPr>
            </w:pPr>
          </w:p>
        </w:tc>
        <w:tc>
          <w:tcPr>
            <w:tcW w:w="1206" w:type="dxa"/>
            <w:tcBorders>
              <w:top w:val="nil"/>
              <w:left w:val="nil"/>
              <w:bottom w:val="nil"/>
              <w:right w:val="nil"/>
            </w:tcBorders>
            <w:shd w:val="clear" w:color="auto" w:fill="auto"/>
            <w:noWrap/>
            <w:vAlign w:val="center"/>
            <w:hideMark/>
          </w:tcPr>
          <w:p w14:paraId="3A0031CF" w14:textId="77777777" w:rsidR="00541E74" w:rsidRPr="00A33460" w:rsidRDefault="00541E74" w:rsidP="00534AF9">
            <w:pPr>
              <w:spacing w:after="0" w:line="240" w:lineRule="auto"/>
              <w:rPr>
                <w:rFonts w:ascii="Arial" w:eastAsia="Times New Roman" w:hAnsi="Arial" w:cs="Arial"/>
                <w:sz w:val="18"/>
                <w:szCs w:val="18"/>
              </w:rPr>
            </w:pPr>
          </w:p>
        </w:tc>
        <w:tc>
          <w:tcPr>
            <w:tcW w:w="1152" w:type="dxa"/>
            <w:tcBorders>
              <w:top w:val="nil"/>
              <w:left w:val="nil"/>
              <w:bottom w:val="nil"/>
              <w:right w:val="nil"/>
            </w:tcBorders>
            <w:shd w:val="clear" w:color="auto" w:fill="auto"/>
            <w:noWrap/>
            <w:vAlign w:val="center"/>
            <w:hideMark/>
          </w:tcPr>
          <w:p w14:paraId="34839D34" w14:textId="77777777" w:rsidR="00541E74" w:rsidRPr="00A33460" w:rsidRDefault="00541E74" w:rsidP="00534AF9">
            <w:pPr>
              <w:spacing w:after="0" w:line="240" w:lineRule="auto"/>
              <w:rPr>
                <w:rFonts w:ascii="Arial" w:eastAsia="Times New Roman" w:hAnsi="Arial" w:cs="Arial"/>
                <w:sz w:val="18"/>
                <w:szCs w:val="18"/>
              </w:rPr>
            </w:pPr>
          </w:p>
        </w:tc>
        <w:tc>
          <w:tcPr>
            <w:tcW w:w="1152" w:type="dxa"/>
            <w:tcBorders>
              <w:top w:val="nil"/>
              <w:left w:val="nil"/>
              <w:bottom w:val="nil"/>
              <w:right w:val="nil"/>
            </w:tcBorders>
            <w:shd w:val="clear" w:color="auto" w:fill="auto"/>
            <w:noWrap/>
            <w:vAlign w:val="center"/>
            <w:hideMark/>
          </w:tcPr>
          <w:p w14:paraId="3832A6E9" w14:textId="77777777" w:rsidR="00541E74" w:rsidRPr="00A33460" w:rsidRDefault="00541E74" w:rsidP="00534AF9">
            <w:pPr>
              <w:spacing w:after="0" w:line="240" w:lineRule="auto"/>
              <w:rPr>
                <w:rFonts w:ascii="Arial" w:eastAsia="Times New Roman" w:hAnsi="Arial" w:cs="Arial"/>
                <w:sz w:val="18"/>
                <w:szCs w:val="18"/>
              </w:rPr>
            </w:pPr>
          </w:p>
        </w:tc>
        <w:tc>
          <w:tcPr>
            <w:tcW w:w="1152" w:type="dxa"/>
            <w:tcBorders>
              <w:top w:val="nil"/>
              <w:left w:val="nil"/>
              <w:bottom w:val="nil"/>
              <w:right w:val="nil"/>
            </w:tcBorders>
            <w:shd w:val="clear" w:color="auto" w:fill="auto"/>
            <w:noWrap/>
            <w:vAlign w:val="center"/>
            <w:hideMark/>
          </w:tcPr>
          <w:p w14:paraId="0A3A1C61" w14:textId="77777777" w:rsidR="00541E74" w:rsidRPr="00A33460" w:rsidRDefault="00541E74" w:rsidP="00534AF9">
            <w:pPr>
              <w:spacing w:after="0" w:line="240" w:lineRule="auto"/>
              <w:rPr>
                <w:rFonts w:ascii="Arial" w:eastAsia="Times New Roman" w:hAnsi="Arial" w:cs="Arial"/>
                <w:sz w:val="18"/>
                <w:szCs w:val="18"/>
              </w:rPr>
            </w:pPr>
          </w:p>
        </w:tc>
        <w:tc>
          <w:tcPr>
            <w:tcW w:w="1890" w:type="dxa"/>
            <w:tcBorders>
              <w:top w:val="nil"/>
              <w:left w:val="nil"/>
              <w:bottom w:val="nil"/>
              <w:right w:val="nil"/>
            </w:tcBorders>
            <w:shd w:val="clear" w:color="auto" w:fill="auto"/>
            <w:noWrap/>
            <w:vAlign w:val="center"/>
            <w:hideMark/>
          </w:tcPr>
          <w:p w14:paraId="725F5FA5" w14:textId="77777777" w:rsidR="00541E74" w:rsidRPr="009B1765" w:rsidRDefault="00541E74" w:rsidP="00534AF9">
            <w:pPr>
              <w:spacing w:after="0" w:line="240" w:lineRule="auto"/>
              <w:rPr>
                <w:rFonts w:ascii="Arial" w:eastAsia="Times New Roman" w:hAnsi="Arial" w:cs="Arial"/>
                <w:sz w:val="18"/>
                <w:szCs w:val="18"/>
              </w:rPr>
            </w:pPr>
          </w:p>
        </w:tc>
      </w:tr>
      <w:tr w:rsidR="00D05EE5" w:rsidRPr="00A33460" w14:paraId="16A399C2" w14:textId="77777777" w:rsidTr="00D05EE5">
        <w:trPr>
          <w:trHeight w:val="300"/>
          <w:jc w:val="center"/>
        </w:trPr>
        <w:tc>
          <w:tcPr>
            <w:tcW w:w="2970" w:type="dxa"/>
            <w:tcBorders>
              <w:top w:val="nil"/>
              <w:left w:val="nil"/>
              <w:bottom w:val="nil"/>
              <w:right w:val="single" w:sz="4" w:space="0" w:color="auto"/>
            </w:tcBorders>
            <w:shd w:val="clear" w:color="auto" w:fill="auto"/>
            <w:noWrap/>
            <w:vAlign w:val="bottom"/>
          </w:tcPr>
          <w:p w14:paraId="65403774" w14:textId="77777777" w:rsidR="00D05EE5" w:rsidRPr="00A33460" w:rsidRDefault="00D05EE5" w:rsidP="00534AF9">
            <w:pPr>
              <w:spacing w:after="0" w:line="240" w:lineRule="auto"/>
              <w:rPr>
                <w:rFonts w:ascii="Arial" w:eastAsia="Times New Roman" w:hAnsi="Arial" w:cs="Arial"/>
                <w:sz w:val="18"/>
                <w:szCs w:val="18"/>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64FFCA8" w14:textId="6573B53D" w:rsidR="00D05EE5" w:rsidRPr="00A33460" w:rsidRDefault="00D05EE5" w:rsidP="00D05EE5">
            <w:pPr>
              <w:spacing w:after="0" w:line="240" w:lineRule="auto"/>
              <w:jc w:val="center"/>
              <w:rPr>
                <w:rFonts w:ascii="Arial" w:eastAsia="Times New Roman" w:hAnsi="Arial" w:cs="Arial"/>
                <w:sz w:val="18"/>
                <w:szCs w:val="18"/>
              </w:rPr>
            </w:pPr>
            <w:r w:rsidRPr="00A33460">
              <w:rPr>
                <w:rFonts w:ascii="Arial" w:eastAsia="Times New Roman" w:hAnsi="Arial" w:cs="Arial"/>
                <w:b/>
                <w:bCs/>
                <w:color w:val="000000"/>
                <w:sz w:val="18"/>
                <w:szCs w:val="18"/>
              </w:rPr>
              <w:t>Unconfined</w:t>
            </w:r>
          </w:p>
        </w:tc>
        <w:tc>
          <w:tcPr>
            <w:tcW w:w="1890" w:type="dxa"/>
            <w:tcBorders>
              <w:top w:val="nil"/>
              <w:left w:val="single" w:sz="4" w:space="0" w:color="auto"/>
              <w:bottom w:val="nil"/>
              <w:right w:val="nil"/>
            </w:tcBorders>
            <w:shd w:val="clear" w:color="auto" w:fill="auto"/>
            <w:noWrap/>
            <w:vAlign w:val="bottom"/>
          </w:tcPr>
          <w:p w14:paraId="759CACF1" w14:textId="77777777" w:rsidR="00D05EE5" w:rsidRPr="009B1765" w:rsidRDefault="00D05EE5" w:rsidP="00534AF9">
            <w:pPr>
              <w:spacing w:after="0" w:line="240" w:lineRule="auto"/>
              <w:rPr>
                <w:rFonts w:ascii="Arial" w:eastAsia="Times New Roman" w:hAnsi="Arial" w:cs="Arial"/>
                <w:sz w:val="18"/>
                <w:szCs w:val="18"/>
              </w:rPr>
            </w:pPr>
          </w:p>
        </w:tc>
      </w:tr>
      <w:tr w:rsidR="00D05EE5" w:rsidRPr="00A33460" w14:paraId="40A6D631" w14:textId="77777777" w:rsidTr="0069211F">
        <w:trPr>
          <w:trHeight w:val="300"/>
          <w:jc w:val="center"/>
        </w:trPr>
        <w:tc>
          <w:tcPr>
            <w:tcW w:w="2970" w:type="dxa"/>
            <w:tcBorders>
              <w:top w:val="nil"/>
              <w:left w:val="nil"/>
              <w:bottom w:val="nil"/>
              <w:right w:val="single" w:sz="4" w:space="0" w:color="auto"/>
            </w:tcBorders>
            <w:shd w:val="clear" w:color="auto" w:fill="auto"/>
            <w:noWrap/>
            <w:vAlign w:val="bottom"/>
          </w:tcPr>
          <w:p w14:paraId="76631964" w14:textId="77777777" w:rsidR="00D05EE5" w:rsidRPr="00A33460" w:rsidRDefault="00D05EE5" w:rsidP="00534AF9">
            <w:pPr>
              <w:spacing w:after="0" w:line="240" w:lineRule="auto"/>
              <w:rPr>
                <w:rFonts w:ascii="Arial" w:eastAsia="Times New Roman" w:hAnsi="Arial" w:cs="Arial"/>
                <w:sz w:val="18"/>
                <w:szCs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6AB200" w14:textId="203C63E4" w:rsidR="00D05EE5" w:rsidRPr="00A33460" w:rsidRDefault="00D05EE5" w:rsidP="00D05EE5">
            <w:pPr>
              <w:spacing w:after="0" w:line="240" w:lineRule="auto"/>
              <w:jc w:val="center"/>
              <w:rPr>
                <w:rFonts w:ascii="Arial" w:eastAsia="Times New Roman" w:hAnsi="Arial" w:cs="Arial"/>
                <w:sz w:val="18"/>
                <w:szCs w:val="18"/>
              </w:rPr>
            </w:pPr>
            <w:r w:rsidRPr="00A33460">
              <w:rPr>
                <w:rFonts w:ascii="Arial" w:eastAsia="Times New Roman" w:hAnsi="Arial" w:cs="Arial"/>
                <w:b/>
                <w:bCs/>
                <w:color w:val="000000"/>
                <w:sz w:val="18"/>
                <w:szCs w:val="18"/>
              </w:rPr>
              <w:t>Lower Layer (On Base)</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35012B" w14:textId="74074F62" w:rsidR="00D05EE5" w:rsidRPr="00A33460" w:rsidRDefault="00D05EE5" w:rsidP="00D05EE5">
            <w:pPr>
              <w:spacing w:after="0" w:line="240" w:lineRule="auto"/>
              <w:jc w:val="center"/>
              <w:rPr>
                <w:rFonts w:ascii="Arial" w:eastAsia="Times New Roman" w:hAnsi="Arial" w:cs="Arial"/>
                <w:sz w:val="18"/>
                <w:szCs w:val="18"/>
              </w:rPr>
            </w:pPr>
            <w:r w:rsidRPr="00A33460">
              <w:rPr>
                <w:rFonts w:ascii="Arial" w:eastAsia="Times New Roman" w:hAnsi="Arial" w:cs="Arial"/>
                <w:b/>
                <w:bCs/>
                <w:color w:val="000000"/>
                <w:sz w:val="18"/>
                <w:szCs w:val="18"/>
              </w:rPr>
              <w:t>Upper Layer</w:t>
            </w:r>
          </w:p>
        </w:tc>
        <w:tc>
          <w:tcPr>
            <w:tcW w:w="1890" w:type="dxa"/>
            <w:tcBorders>
              <w:top w:val="nil"/>
              <w:left w:val="single" w:sz="4" w:space="0" w:color="auto"/>
              <w:bottom w:val="single" w:sz="4" w:space="0" w:color="auto"/>
              <w:right w:val="nil"/>
            </w:tcBorders>
            <w:shd w:val="clear" w:color="auto" w:fill="auto"/>
            <w:noWrap/>
            <w:vAlign w:val="bottom"/>
          </w:tcPr>
          <w:p w14:paraId="687A8E02" w14:textId="77777777" w:rsidR="00D05EE5" w:rsidRPr="009B1765" w:rsidRDefault="00D05EE5" w:rsidP="00534AF9">
            <w:pPr>
              <w:spacing w:after="0" w:line="240" w:lineRule="auto"/>
              <w:rPr>
                <w:rFonts w:ascii="Arial" w:eastAsia="Times New Roman" w:hAnsi="Arial" w:cs="Arial"/>
                <w:sz w:val="18"/>
                <w:szCs w:val="18"/>
              </w:rPr>
            </w:pPr>
          </w:p>
        </w:tc>
      </w:tr>
      <w:tr w:rsidR="00541E74" w:rsidRPr="00A33460" w14:paraId="499DB39F" w14:textId="77777777" w:rsidTr="0069211F">
        <w:trPr>
          <w:trHeight w:val="300"/>
          <w:jc w:val="center"/>
        </w:trPr>
        <w:tc>
          <w:tcPr>
            <w:tcW w:w="2970" w:type="dxa"/>
            <w:tcBorders>
              <w:top w:val="nil"/>
              <w:left w:val="nil"/>
              <w:bottom w:val="nil"/>
              <w:right w:val="nil"/>
            </w:tcBorders>
            <w:shd w:val="clear" w:color="auto" w:fill="auto"/>
            <w:noWrap/>
            <w:vAlign w:val="center"/>
            <w:hideMark/>
          </w:tcPr>
          <w:p w14:paraId="45949EF0" w14:textId="77777777" w:rsidR="00541E74" w:rsidRPr="00A33460" w:rsidRDefault="00541E74" w:rsidP="00534AF9">
            <w:pPr>
              <w:spacing w:after="0" w:line="240" w:lineRule="auto"/>
              <w:rPr>
                <w:rFonts w:ascii="Arial" w:eastAsia="Times New Roman" w:hAnsi="Arial" w:cs="Arial"/>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2544"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LT/MT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47C97DD"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HT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ADAE45B"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LT/MT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A7766A0" w14:textId="77777777" w:rsidR="00541E74" w:rsidRPr="00A33460" w:rsidRDefault="00541E74" w:rsidP="00534AF9">
            <w:pPr>
              <w:spacing w:after="0" w:line="240" w:lineRule="auto"/>
              <w:jc w:val="center"/>
              <w:rPr>
                <w:rFonts w:ascii="Arial" w:eastAsia="Times New Roman" w:hAnsi="Arial" w:cs="Arial"/>
                <w:b/>
                <w:bCs/>
                <w:color w:val="000000"/>
                <w:sz w:val="18"/>
                <w:szCs w:val="18"/>
              </w:rPr>
            </w:pPr>
            <w:r w:rsidRPr="00A33460">
              <w:rPr>
                <w:rFonts w:ascii="Arial" w:eastAsia="Times New Roman" w:hAnsi="Arial" w:cs="Arial"/>
                <w:b/>
                <w:bCs/>
                <w:color w:val="000000"/>
                <w:sz w:val="18"/>
                <w:szCs w:val="18"/>
              </w:rPr>
              <w:t>HT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1A8F3CD" w14:textId="77777777" w:rsidR="00541E74" w:rsidRPr="009B1765" w:rsidRDefault="00541E74" w:rsidP="00534AF9">
            <w:pPr>
              <w:spacing w:after="0" w:line="240" w:lineRule="auto"/>
              <w:jc w:val="center"/>
              <w:rPr>
                <w:rFonts w:ascii="Arial" w:eastAsia="Times New Roman" w:hAnsi="Arial" w:cs="Arial"/>
                <w:b/>
                <w:bCs/>
                <w:sz w:val="18"/>
                <w:szCs w:val="18"/>
              </w:rPr>
            </w:pPr>
            <w:r w:rsidRPr="009B1765">
              <w:rPr>
                <w:rFonts w:ascii="Arial" w:eastAsia="Times New Roman" w:hAnsi="Arial" w:cs="Arial"/>
                <w:b/>
                <w:bCs/>
                <w:sz w:val="18"/>
                <w:szCs w:val="18"/>
              </w:rPr>
              <w:t>Pay Adjust</w:t>
            </w:r>
          </w:p>
        </w:tc>
      </w:tr>
      <w:tr w:rsidR="00541E74" w:rsidRPr="00A33460" w14:paraId="498D3318" w14:textId="77777777" w:rsidTr="002A2BC3">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0C4C9"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Mainline Target (SS 460-3)</w:t>
            </w:r>
          </w:p>
        </w:tc>
        <w:tc>
          <w:tcPr>
            <w:tcW w:w="1206" w:type="dxa"/>
            <w:tcBorders>
              <w:top w:val="nil"/>
              <w:left w:val="nil"/>
              <w:bottom w:val="single" w:sz="4" w:space="0" w:color="auto"/>
              <w:right w:val="single" w:sz="4" w:space="0" w:color="auto"/>
            </w:tcBorders>
            <w:shd w:val="clear" w:color="000000" w:fill="E7E6E6"/>
            <w:noWrap/>
            <w:vAlign w:val="center"/>
            <w:hideMark/>
          </w:tcPr>
          <w:p w14:paraId="328A3926"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91.0</w:t>
            </w:r>
          </w:p>
        </w:tc>
        <w:tc>
          <w:tcPr>
            <w:tcW w:w="1152" w:type="dxa"/>
            <w:tcBorders>
              <w:top w:val="nil"/>
              <w:left w:val="nil"/>
              <w:bottom w:val="single" w:sz="4" w:space="0" w:color="auto"/>
              <w:right w:val="single" w:sz="4" w:space="0" w:color="auto"/>
            </w:tcBorders>
            <w:shd w:val="clear" w:color="000000" w:fill="E7E6E6"/>
            <w:noWrap/>
            <w:vAlign w:val="center"/>
            <w:hideMark/>
          </w:tcPr>
          <w:p w14:paraId="7BBF3062"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92.0</w:t>
            </w:r>
          </w:p>
        </w:tc>
        <w:tc>
          <w:tcPr>
            <w:tcW w:w="1152" w:type="dxa"/>
            <w:tcBorders>
              <w:top w:val="nil"/>
              <w:left w:val="nil"/>
              <w:bottom w:val="single" w:sz="4" w:space="0" w:color="auto"/>
              <w:right w:val="single" w:sz="4" w:space="0" w:color="auto"/>
            </w:tcBorders>
            <w:shd w:val="clear" w:color="000000" w:fill="E7E6E6"/>
            <w:noWrap/>
            <w:vAlign w:val="center"/>
            <w:hideMark/>
          </w:tcPr>
          <w:p w14:paraId="70B007A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93.0</w:t>
            </w:r>
          </w:p>
        </w:tc>
        <w:tc>
          <w:tcPr>
            <w:tcW w:w="1152" w:type="dxa"/>
            <w:tcBorders>
              <w:top w:val="nil"/>
              <w:left w:val="nil"/>
              <w:bottom w:val="single" w:sz="4" w:space="0" w:color="auto"/>
              <w:right w:val="single" w:sz="4" w:space="0" w:color="auto"/>
            </w:tcBorders>
            <w:shd w:val="clear" w:color="000000" w:fill="E7E6E6"/>
            <w:noWrap/>
            <w:vAlign w:val="center"/>
            <w:hideMark/>
          </w:tcPr>
          <w:p w14:paraId="2C235D3A"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93.0</w:t>
            </w:r>
          </w:p>
        </w:tc>
        <w:tc>
          <w:tcPr>
            <w:tcW w:w="1890" w:type="dxa"/>
            <w:tcBorders>
              <w:top w:val="nil"/>
              <w:left w:val="nil"/>
              <w:bottom w:val="single" w:sz="4" w:space="0" w:color="auto"/>
              <w:right w:val="single" w:sz="4" w:space="0" w:color="auto"/>
            </w:tcBorders>
            <w:shd w:val="clear" w:color="000000" w:fill="E7E6E6"/>
            <w:noWrap/>
            <w:vAlign w:val="center"/>
            <w:hideMark/>
          </w:tcPr>
          <w:p w14:paraId="63BC4AC4"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w:t>
            </w:r>
          </w:p>
        </w:tc>
      </w:tr>
      <w:tr w:rsidR="00541E74" w:rsidRPr="00A33460" w14:paraId="469658B8"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000000" w:fill="C6E0B4"/>
            <w:noWrap/>
            <w:vAlign w:val="center"/>
            <w:hideMark/>
          </w:tcPr>
          <w:p w14:paraId="48EDFD27"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Unconfined Target (Mainline -3.0)</w:t>
            </w:r>
          </w:p>
        </w:tc>
        <w:tc>
          <w:tcPr>
            <w:tcW w:w="1206" w:type="dxa"/>
            <w:tcBorders>
              <w:top w:val="nil"/>
              <w:left w:val="nil"/>
              <w:bottom w:val="single" w:sz="4" w:space="0" w:color="auto"/>
              <w:right w:val="single" w:sz="4" w:space="0" w:color="auto"/>
            </w:tcBorders>
            <w:shd w:val="clear" w:color="000000" w:fill="C6E0B4"/>
            <w:noWrap/>
            <w:vAlign w:val="center"/>
            <w:hideMark/>
          </w:tcPr>
          <w:p w14:paraId="6D15AE69"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88.0</w:t>
            </w:r>
          </w:p>
        </w:tc>
        <w:tc>
          <w:tcPr>
            <w:tcW w:w="1152" w:type="dxa"/>
            <w:tcBorders>
              <w:top w:val="nil"/>
              <w:left w:val="nil"/>
              <w:bottom w:val="single" w:sz="4" w:space="0" w:color="auto"/>
              <w:right w:val="single" w:sz="4" w:space="0" w:color="auto"/>
            </w:tcBorders>
            <w:shd w:val="clear" w:color="000000" w:fill="C6E0B4"/>
            <w:noWrap/>
            <w:vAlign w:val="center"/>
            <w:hideMark/>
          </w:tcPr>
          <w:p w14:paraId="73D0EBE6"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89.0</w:t>
            </w:r>
          </w:p>
        </w:tc>
        <w:tc>
          <w:tcPr>
            <w:tcW w:w="1152" w:type="dxa"/>
            <w:tcBorders>
              <w:top w:val="nil"/>
              <w:left w:val="nil"/>
              <w:bottom w:val="single" w:sz="4" w:space="0" w:color="auto"/>
              <w:right w:val="single" w:sz="4" w:space="0" w:color="auto"/>
            </w:tcBorders>
            <w:shd w:val="clear" w:color="000000" w:fill="C6E0B4"/>
            <w:noWrap/>
            <w:vAlign w:val="center"/>
            <w:hideMark/>
          </w:tcPr>
          <w:p w14:paraId="30F6DD34"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90.0</w:t>
            </w:r>
          </w:p>
        </w:tc>
        <w:tc>
          <w:tcPr>
            <w:tcW w:w="1152" w:type="dxa"/>
            <w:tcBorders>
              <w:top w:val="nil"/>
              <w:left w:val="nil"/>
              <w:bottom w:val="single" w:sz="4" w:space="0" w:color="auto"/>
              <w:right w:val="single" w:sz="4" w:space="0" w:color="auto"/>
            </w:tcBorders>
            <w:shd w:val="clear" w:color="000000" w:fill="C6E0B4"/>
            <w:noWrap/>
            <w:vAlign w:val="center"/>
            <w:hideMark/>
          </w:tcPr>
          <w:p w14:paraId="0990D71B"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90.0</w:t>
            </w:r>
          </w:p>
        </w:tc>
        <w:tc>
          <w:tcPr>
            <w:tcW w:w="1890" w:type="dxa"/>
            <w:tcBorders>
              <w:top w:val="nil"/>
              <w:left w:val="nil"/>
              <w:bottom w:val="single" w:sz="4" w:space="0" w:color="auto"/>
              <w:right w:val="single" w:sz="4" w:space="0" w:color="auto"/>
            </w:tcBorders>
            <w:shd w:val="clear" w:color="000000" w:fill="C6E0B4"/>
            <w:noWrap/>
            <w:vAlign w:val="center"/>
            <w:hideMark/>
          </w:tcPr>
          <w:p w14:paraId="1498D7AA"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w:t>
            </w:r>
          </w:p>
        </w:tc>
      </w:tr>
      <w:tr w:rsidR="00541E74" w:rsidRPr="00A33460" w14:paraId="40073969"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0D65B05" w14:textId="2039473B" w:rsidR="00541E74" w:rsidRPr="00A33460" w:rsidRDefault="00EC3CB8"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Equal to or greater</w:t>
            </w:r>
            <w:r w:rsidR="00541E74" w:rsidRPr="00A33460">
              <w:rPr>
                <w:rFonts w:ascii="Arial" w:eastAsia="Times New Roman" w:hAnsi="Arial" w:cs="Arial"/>
                <w:color w:val="000000"/>
                <w:sz w:val="18"/>
                <w:szCs w:val="18"/>
              </w:rPr>
              <w:t xml:space="preserve"> than +2.0</w:t>
            </w:r>
          </w:p>
        </w:tc>
        <w:tc>
          <w:tcPr>
            <w:tcW w:w="1206" w:type="dxa"/>
            <w:tcBorders>
              <w:top w:val="nil"/>
              <w:left w:val="nil"/>
              <w:bottom w:val="single" w:sz="4" w:space="0" w:color="auto"/>
              <w:right w:val="single" w:sz="4" w:space="0" w:color="auto"/>
            </w:tcBorders>
            <w:shd w:val="clear" w:color="auto" w:fill="auto"/>
            <w:noWrap/>
            <w:vAlign w:val="center"/>
            <w:hideMark/>
          </w:tcPr>
          <w:p w14:paraId="0A6E8FEF"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90.0</w:t>
            </w:r>
          </w:p>
        </w:tc>
        <w:tc>
          <w:tcPr>
            <w:tcW w:w="1152" w:type="dxa"/>
            <w:tcBorders>
              <w:top w:val="nil"/>
              <w:left w:val="nil"/>
              <w:bottom w:val="single" w:sz="4" w:space="0" w:color="auto"/>
              <w:right w:val="single" w:sz="4" w:space="0" w:color="auto"/>
            </w:tcBorders>
            <w:shd w:val="clear" w:color="auto" w:fill="auto"/>
            <w:noWrap/>
            <w:vAlign w:val="center"/>
            <w:hideMark/>
          </w:tcPr>
          <w:p w14:paraId="4E947161"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91.0</w:t>
            </w:r>
          </w:p>
        </w:tc>
        <w:tc>
          <w:tcPr>
            <w:tcW w:w="1152" w:type="dxa"/>
            <w:tcBorders>
              <w:top w:val="nil"/>
              <w:left w:val="nil"/>
              <w:bottom w:val="single" w:sz="4" w:space="0" w:color="auto"/>
              <w:right w:val="single" w:sz="4" w:space="0" w:color="auto"/>
            </w:tcBorders>
            <w:shd w:val="clear" w:color="auto" w:fill="auto"/>
            <w:noWrap/>
            <w:vAlign w:val="center"/>
            <w:hideMark/>
          </w:tcPr>
          <w:p w14:paraId="2FCE80D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92.0</w:t>
            </w:r>
          </w:p>
        </w:tc>
        <w:tc>
          <w:tcPr>
            <w:tcW w:w="1152" w:type="dxa"/>
            <w:tcBorders>
              <w:top w:val="nil"/>
              <w:left w:val="nil"/>
              <w:bottom w:val="single" w:sz="4" w:space="0" w:color="auto"/>
              <w:right w:val="single" w:sz="4" w:space="0" w:color="auto"/>
            </w:tcBorders>
            <w:shd w:val="clear" w:color="auto" w:fill="auto"/>
            <w:noWrap/>
            <w:vAlign w:val="center"/>
            <w:hideMark/>
          </w:tcPr>
          <w:p w14:paraId="203263F9"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u w:val="single"/>
              </w:rPr>
              <w:t>&gt;</w:t>
            </w:r>
            <w:r w:rsidRPr="00A33460">
              <w:rPr>
                <w:rFonts w:ascii="Arial" w:eastAsia="Times New Roman" w:hAnsi="Arial" w:cs="Arial"/>
                <w:color w:val="000000"/>
                <w:sz w:val="18"/>
                <w:szCs w:val="18"/>
              </w:rPr>
              <w:t xml:space="preserve"> 92.0</w:t>
            </w:r>
          </w:p>
        </w:tc>
        <w:tc>
          <w:tcPr>
            <w:tcW w:w="1890" w:type="dxa"/>
            <w:tcBorders>
              <w:top w:val="nil"/>
              <w:left w:val="nil"/>
              <w:bottom w:val="single" w:sz="4" w:space="0" w:color="auto"/>
              <w:right w:val="single" w:sz="4" w:space="0" w:color="auto"/>
            </w:tcBorders>
            <w:shd w:val="clear" w:color="auto" w:fill="auto"/>
            <w:noWrap/>
            <w:vAlign w:val="center"/>
            <w:hideMark/>
          </w:tcPr>
          <w:p w14:paraId="4831F816" w14:textId="62EAB758"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w:t>
            </w:r>
            <w:r w:rsidR="00940307">
              <w:rPr>
                <w:rFonts w:ascii="Arial" w:eastAsia="Times New Roman" w:hAnsi="Arial" w:cs="Arial"/>
                <w:sz w:val="18"/>
                <w:szCs w:val="18"/>
              </w:rPr>
              <w:t>2</w:t>
            </w:r>
            <w:r w:rsidRPr="009B1765">
              <w:rPr>
                <w:rFonts w:ascii="Arial" w:eastAsia="Times New Roman" w:hAnsi="Arial" w:cs="Arial"/>
                <w:sz w:val="18"/>
                <w:szCs w:val="18"/>
              </w:rPr>
              <w:t xml:space="preserve">0 </w:t>
            </w:r>
          </w:p>
        </w:tc>
      </w:tr>
      <w:tr w:rsidR="00541E74" w:rsidRPr="00A33460" w14:paraId="7B4EA2EE"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0324DAE" w14:textId="34D9D232"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0.0 to +</w:t>
            </w:r>
            <w:r w:rsidR="0010535D" w:rsidRPr="00A33460">
              <w:rPr>
                <w:rFonts w:ascii="Arial" w:eastAsia="Times New Roman" w:hAnsi="Arial" w:cs="Arial"/>
                <w:color w:val="000000"/>
                <w:sz w:val="18"/>
                <w:szCs w:val="18"/>
              </w:rPr>
              <w:t>1</w:t>
            </w:r>
            <w:r w:rsidRPr="00A33460">
              <w:rPr>
                <w:rFonts w:ascii="Arial" w:eastAsia="Times New Roman" w:hAnsi="Arial" w:cs="Arial"/>
                <w:color w:val="000000"/>
                <w:sz w:val="18"/>
                <w:szCs w:val="18"/>
              </w:rPr>
              <w:t>.</w:t>
            </w:r>
            <w:r w:rsidR="0010535D" w:rsidRPr="00A33460">
              <w:rPr>
                <w:rFonts w:ascii="Arial" w:eastAsia="Times New Roman" w:hAnsi="Arial" w:cs="Arial"/>
                <w:color w:val="000000"/>
                <w:sz w:val="18"/>
                <w:szCs w:val="18"/>
              </w:rPr>
              <w:t>9</w:t>
            </w:r>
          </w:p>
        </w:tc>
        <w:tc>
          <w:tcPr>
            <w:tcW w:w="1206" w:type="dxa"/>
            <w:tcBorders>
              <w:top w:val="nil"/>
              <w:left w:val="nil"/>
              <w:bottom w:val="single" w:sz="4" w:space="0" w:color="auto"/>
              <w:right w:val="single" w:sz="4" w:space="0" w:color="auto"/>
            </w:tcBorders>
            <w:shd w:val="clear" w:color="auto" w:fill="auto"/>
            <w:noWrap/>
            <w:vAlign w:val="center"/>
            <w:hideMark/>
          </w:tcPr>
          <w:p w14:paraId="54DAF290" w14:textId="475D290C"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89.9 - 88.0</w:t>
            </w:r>
          </w:p>
        </w:tc>
        <w:tc>
          <w:tcPr>
            <w:tcW w:w="1152" w:type="dxa"/>
            <w:tcBorders>
              <w:top w:val="nil"/>
              <w:left w:val="nil"/>
              <w:bottom w:val="single" w:sz="4" w:space="0" w:color="auto"/>
              <w:right w:val="single" w:sz="4" w:space="0" w:color="auto"/>
            </w:tcBorders>
            <w:shd w:val="clear" w:color="auto" w:fill="auto"/>
            <w:noWrap/>
            <w:vAlign w:val="center"/>
            <w:hideMark/>
          </w:tcPr>
          <w:p w14:paraId="6E985CF2" w14:textId="5BFC87C0"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90.9 - 89.0</w:t>
            </w:r>
          </w:p>
        </w:tc>
        <w:tc>
          <w:tcPr>
            <w:tcW w:w="1152" w:type="dxa"/>
            <w:tcBorders>
              <w:top w:val="nil"/>
              <w:left w:val="nil"/>
              <w:bottom w:val="single" w:sz="4" w:space="0" w:color="auto"/>
              <w:right w:val="single" w:sz="4" w:space="0" w:color="auto"/>
            </w:tcBorders>
            <w:shd w:val="clear" w:color="auto" w:fill="auto"/>
            <w:noWrap/>
            <w:vAlign w:val="center"/>
            <w:hideMark/>
          </w:tcPr>
          <w:p w14:paraId="66329990" w14:textId="01F0BB2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91.9 - 90.0</w:t>
            </w:r>
          </w:p>
        </w:tc>
        <w:tc>
          <w:tcPr>
            <w:tcW w:w="1152" w:type="dxa"/>
            <w:tcBorders>
              <w:top w:val="nil"/>
              <w:left w:val="nil"/>
              <w:bottom w:val="single" w:sz="4" w:space="0" w:color="auto"/>
              <w:right w:val="single" w:sz="4" w:space="0" w:color="auto"/>
            </w:tcBorders>
            <w:shd w:val="clear" w:color="auto" w:fill="auto"/>
            <w:noWrap/>
            <w:vAlign w:val="center"/>
            <w:hideMark/>
          </w:tcPr>
          <w:p w14:paraId="3E3A07A6" w14:textId="0B4877F3"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91.9 - 90.0</w:t>
            </w:r>
          </w:p>
        </w:tc>
        <w:tc>
          <w:tcPr>
            <w:tcW w:w="1890" w:type="dxa"/>
            <w:tcBorders>
              <w:top w:val="nil"/>
              <w:left w:val="nil"/>
              <w:bottom w:val="single" w:sz="4" w:space="0" w:color="auto"/>
              <w:right w:val="single" w:sz="4" w:space="0" w:color="auto"/>
            </w:tcBorders>
            <w:shd w:val="clear" w:color="auto" w:fill="auto"/>
            <w:noWrap/>
            <w:vAlign w:val="center"/>
            <w:hideMark/>
          </w:tcPr>
          <w:p w14:paraId="53443914"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 xml:space="preserve">$0 </w:t>
            </w:r>
          </w:p>
        </w:tc>
      </w:tr>
      <w:tr w:rsidR="00541E74" w:rsidRPr="00A33460" w14:paraId="1F605365"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2CD8F88"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 xml:space="preserve">From -0.1 to -1.0 </w:t>
            </w:r>
          </w:p>
        </w:tc>
        <w:tc>
          <w:tcPr>
            <w:tcW w:w="1206" w:type="dxa"/>
            <w:tcBorders>
              <w:top w:val="nil"/>
              <w:left w:val="nil"/>
              <w:bottom w:val="single" w:sz="4" w:space="0" w:color="auto"/>
              <w:right w:val="single" w:sz="4" w:space="0" w:color="auto"/>
            </w:tcBorders>
            <w:shd w:val="clear" w:color="auto" w:fill="auto"/>
            <w:noWrap/>
            <w:vAlign w:val="center"/>
            <w:hideMark/>
          </w:tcPr>
          <w:p w14:paraId="73080CA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16DB3280"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88.9 - 88.0</w:t>
            </w:r>
          </w:p>
        </w:tc>
        <w:tc>
          <w:tcPr>
            <w:tcW w:w="1152" w:type="dxa"/>
            <w:tcBorders>
              <w:top w:val="nil"/>
              <w:left w:val="nil"/>
              <w:bottom w:val="single" w:sz="4" w:space="0" w:color="auto"/>
              <w:right w:val="single" w:sz="4" w:space="0" w:color="auto"/>
            </w:tcBorders>
            <w:shd w:val="clear" w:color="auto" w:fill="auto"/>
            <w:noWrap/>
            <w:vAlign w:val="center"/>
            <w:hideMark/>
          </w:tcPr>
          <w:p w14:paraId="722D1078"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89.9 - 89.0</w:t>
            </w:r>
          </w:p>
        </w:tc>
        <w:tc>
          <w:tcPr>
            <w:tcW w:w="1152" w:type="dxa"/>
            <w:tcBorders>
              <w:top w:val="nil"/>
              <w:left w:val="nil"/>
              <w:bottom w:val="single" w:sz="4" w:space="0" w:color="auto"/>
              <w:right w:val="single" w:sz="4" w:space="0" w:color="auto"/>
            </w:tcBorders>
            <w:shd w:val="clear" w:color="auto" w:fill="auto"/>
            <w:noWrap/>
            <w:vAlign w:val="center"/>
            <w:hideMark/>
          </w:tcPr>
          <w:p w14:paraId="45DDBFBC"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89.9 - 89.0</w:t>
            </w:r>
          </w:p>
        </w:tc>
        <w:tc>
          <w:tcPr>
            <w:tcW w:w="1890" w:type="dxa"/>
            <w:tcBorders>
              <w:top w:val="nil"/>
              <w:left w:val="nil"/>
              <w:bottom w:val="single" w:sz="4" w:space="0" w:color="auto"/>
              <w:right w:val="single" w:sz="4" w:space="0" w:color="auto"/>
            </w:tcBorders>
            <w:shd w:val="clear" w:color="auto" w:fill="auto"/>
            <w:noWrap/>
            <w:vAlign w:val="center"/>
            <w:hideMark/>
          </w:tcPr>
          <w:p w14:paraId="671157C0"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($0.20)</w:t>
            </w:r>
          </w:p>
        </w:tc>
      </w:tr>
      <w:tr w:rsidR="00541E74" w:rsidRPr="00A33460" w14:paraId="26AE2A57"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D6BF9B8"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-1.1 to -2.0</w:t>
            </w:r>
          </w:p>
        </w:tc>
        <w:tc>
          <w:tcPr>
            <w:tcW w:w="1206" w:type="dxa"/>
            <w:tcBorders>
              <w:top w:val="nil"/>
              <w:left w:val="nil"/>
              <w:bottom w:val="single" w:sz="4" w:space="0" w:color="auto"/>
              <w:right w:val="single" w:sz="4" w:space="0" w:color="auto"/>
            </w:tcBorders>
            <w:shd w:val="clear" w:color="auto" w:fill="auto"/>
            <w:noWrap/>
            <w:vAlign w:val="center"/>
            <w:hideMark/>
          </w:tcPr>
          <w:p w14:paraId="4257F23E"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86.9 - 86.0</w:t>
            </w:r>
          </w:p>
        </w:tc>
        <w:tc>
          <w:tcPr>
            <w:tcW w:w="1152" w:type="dxa"/>
            <w:tcBorders>
              <w:top w:val="nil"/>
              <w:left w:val="nil"/>
              <w:bottom w:val="single" w:sz="4" w:space="0" w:color="auto"/>
              <w:right w:val="single" w:sz="4" w:space="0" w:color="auto"/>
            </w:tcBorders>
            <w:shd w:val="clear" w:color="auto" w:fill="auto"/>
            <w:noWrap/>
            <w:vAlign w:val="center"/>
            <w:hideMark/>
          </w:tcPr>
          <w:p w14:paraId="42F50BAA"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4DCD5C1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88.9 - 88.0</w:t>
            </w:r>
          </w:p>
        </w:tc>
        <w:tc>
          <w:tcPr>
            <w:tcW w:w="1152" w:type="dxa"/>
            <w:tcBorders>
              <w:top w:val="nil"/>
              <w:left w:val="nil"/>
              <w:bottom w:val="single" w:sz="4" w:space="0" w:color="auto"/>
              <w:right w:val="single" w:sz="4" w:space="0" w:color="auto"/>
            </w:tcBorders>
            <w:shd w:val="clear" w:color="auto" w:fill="auto"/>
            <w:noWrap/>
            <w:vAlign w:val="center"/>
            <w:hideMark/>
          </w:tcPr>
          <w:p w14:paraId="5A5398D4"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88.9 - 88.0</w:t>
            </w:r>
          </w:p>
        </w:tc>
        <w:tc>
          <w:tcPr>
            <w:tcW w:w="1890" w:type="dxa"/>
            <w:tcBorders>
              <w:top w:val="nil"/>
              <w:left w:val="nil"/>
              <w:bottom w:val="single" w:sz="4" w:space="0" w:color="auto"/>
              <w:right w:val="single" w:sz="4" w:space="0" w:color="auto"/>
            </w:tcBorders>
            <w:shd w:val="clear" w:color="auto" w:fill="auto"/>
            <w:noWrap/>
            <w:vAlign w:val="center"/>
            <w:hideMark/>
          </w:tcPr>
          <w:p w14:paraId="541AE41E"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($0.40)</w:t>
            </w:r>
          </w:p>
        </w:tc>
      </w:tr>
      <w:tr w:rsidR="00541E74" w:rsidRPr="00A33460" w14:paraId="58A3908D"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29B2479" w14:textId="2361986A"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From -2.</w:t>
            </w:r>
            <w:r w:rsidR="00273344" w:rsidRPr="00A33460">
              <w:rPr>
                <w:rFonts w:ascii="Arial" w:eastAsia="Times New Roman" w:hAnsi="Arial" w:cs="Arial"/>
                <w:color w:val="000000"/>
                <w:sz w:val="18"/>
                <w:szCs w:val="18"/>
              </w:rPr>
              <w:t>1</w:t>
            </w:r>
            <w:r w:rsidRPr="00A33460">
              <w:rPr>
                <w:rFonts w:ascii="Arial" w:eastAsia="Times New Roman" w:hAnsi="Arial" w:cs="Arial"/>
                <w:color w:val="000000"/>
                <w:sz w:val="18"/>
                <w:szCs w:val="18"/>
              </w:rPr>
              <w:t xml:space="preserve"> to -3.0</w:t>
            </w:r>
          </w:p>
        </w:tc>
        <w:tc>
          <w:tcPr>
            <w:tcW w:w="1206" w:type="dxa"/>
            <w:tcBorders>
              <w:top w:val="nil"/>
              <w:left w:val="nil"/>
              <w:bottom w:val="single" w:sz="4" w:space="0" w:color="auto"/>
              <w:right w:val="single" w:sz="4" w:space="0" w:color="auto"/>
            </w:tcBorders>
            <w:shd w:val="clear" w:color="auto" w:fill="auto"/>
            <w:noWrap/>
            <w:vAlign w:val="center"/>
            <w:hideMark/>
          </w:tcPr>
          <w:p w14:paraId="14D2F9C5"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85.9 - 85.0</w:t>
            </w:r>
          </w:p>
        </w:tc>
        <w:tc>
          <w:tcPr>
            <w:tcW w:w="1152" w:type="dxa"/>
            <w:tcBorders>
              <w:top w:val="nil"/>
              <w:left w:val="nil"/>
              <w:bottom w:val="single" w:sz="4" w:space="0" w:color="auto"/>
              <w:right w:val="single" w:sz="4" w:space="0" w:color="auto"/>
            </w:tcBorders>
            <w:shd w:val="clear" w:color="auto" w:fill="auto"/>
            <w:noWrap/>
            <w:vAlign w:val="center"/>
            <w:hideMark/>
          </w:tcPr>
          <w:p w14:paraId="7CC4BCC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86.9 - 86.0</w:t>
            </w:r>
          </w:p>
        </w:tc>
        <w:tc>
          <w:tcPr>
            <w:tcW w:w="1152" w:type="dxa"/>
            <w:tcBorders>
              <w:top w:val="nil"/>
              <w:left w:val="nil"/>
              <w:bottom w:val="single" w:sz="4" w:space="0" w:color="auto"/>
              <w:right w:val="single" w:sz="4" w:space="0" w:color="auto"/>
            </w:tcBorders>
            <w:shd w:val="clear" w:color="auto" w:fill="auto"/>
            <w:noWrap/>
            <w:vAlign w:val="center"/>
            <w:hideMark/>
          </w:tcPr>
          <w:p w14:paraId="228C0B32"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7196476A"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87.9 - 87.0</w:t>
            </w:r>
          </w:p>
        </w:tc>
        <w:tc>
          <w:tcPr>
            <w:tcW w:w="1890" w:type="dxa"/>
            <w:tcBorders>
              <w:top w:val="nil"/>
              <w:left w:val="nil"/>
              <w:bottom w:val="single" w:sz="4" w:space="0" w:color="auto"/>
              <w:right w:val="single" w:sz="4" w:space="0" w:color="auto"/>
            </w:tcBorders>
            <w:shd w:val="clear" w:color="auto" w:fill="auto"/>
            <w:noWrap/>
            <w:vAlign w:val="center"/>
            <w:hideMark/>
          </w:tcPr>
          <w:p w14:paraId="2D3EADF0" w14:textId="77777777" w:rsidR="00541E74" w:rsidRPr="009B1765" w:rsidRDefault="00541E74" w:rsidP="00534AF9">
            <w:pPr>
              <w:spacing w:after="0" w:line="240" w:lineRule="auto"/>
              <w:jc w:val="center"/>
              <w:rPr>
                <w:rFonts w:ascii="Arial" w:eastAsia="Times New Roman" w:hAnsi="Arial" w:cs="Arial"/>
                <w:sz w:val="18"/>
                <w:szCs w:val="18"/>
              </w:rPr>
            </w:pPr>
            <w:r w:rsidRPr="009B1765">
              <w:rPr>
                <w:rFonts w:ascii="Arial" w:eastAsia="Times New Roman" w:hAnsi="Arial" w:cs="Arial"/>
                <w:sz w:val="18"/>
                <w:szCs w:val="18"/>
              </w:rPr>
              <w:t>($0.80)</w:t>
            </w:r>
          </w:p>
        </w:tc>
      </w:tr>
      <w:tr w:rsidR="00541E74" w:rsidRPr="00A33460" w14:paraId="12895EDF" w14:textId="77777777" w:rsidTr="002A2BC3">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5ED4C30" w14:textId="77777777" w:rsidR="00541E74" w:rsidRPr="00A33460" w:rsidRDefault="00541E74" w:rsidP="00534AF9">
            <w:pPr>
              <w:spacing w:after="0" w:line="240" w:lineRule="auto"/>
              <w:rPr>
                <w:rFonts w:ascii="Arial" w:eastAsia="Times New Roman" w:hAnsi="Arial" w:cs="Arial"/>
                <w:color w:val="000000"/>
                <w:sz w:val="18"/>
                <w:szCs w:val="18"/>
              </w:rPr>
            </w:pPr>
            <w:r w:rsidRPr="00A33460">
              <w:rPr>
                <w:rFonts w:ascii="Arial" w:eastAsia="Times New Roman" w:hAnsi="Arial" w:cs="Arial"/>
                <w:color w:val="000000"/>
                <w:sz w:val="18"/>
                <w:szCs w:val="18"/>
              </w:rPr>
              <w:t>More than -3.0</w:t>
            </w:r>
          </w:p>
        </w:tc>
        <w:tc>
          <w:tcPr>
            <w:tcW w:w="1206" w:type="dxa"/>
            <w:tcBorders>
              <w:top w:val="nil"/>
              <w:left w:val="nil"/>
              <w:bottom w:val="single" w:sz="4" w:space="0" w:color="auto"/>
              <w:right w:val="single" w:sz="4" w:space="0" w:color="auto"/>
            </w:tcBorders>
            <w:shd w:val="clear" w:color="auto" w:fill="auto"/>
            <w:noWrap/>
            <w:vAlign w:val="center"/>
            <w:hideMark/>
          </w:tcPr>
          <w:p w14:paraId="4B90948B"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85.0</w:t>
            </w:r>
          </w:p>
        </w:tc>
        <w:tc>
          <w:tcPr>
            <w:tcW w:w="1152" w:type="dxa"/>
            <w:tcBorders>
              <w:top w:val="nil"/>
              <w:left w:val="nil"/>
              <w:bottom w:val="single" w:sz="4" w:space="0" w:color="auto"/>
              <w:right w:val="single" w:sz="4" w:space="0" w:color="auto"/>
            </w:tcBorders>
            <w:shd w:val="clear" w:color="auto" w:fill="auto"/>
            <w:noWrap/>
            <w:vAlign w:val="center"/>
            <w:hideMark/>
          </w:tcPr>
          <w:p w14:paraId="049F80CD"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86.0</w:t>
            </w:r>
          </w:p>
        </w:tc>
        <w:tc>
          <w:tcPr>
            <w:tcW w:w="1152" w:type="dxa"/>
            <w:tcBorders>
              <w:top w:val="nil"/>
              <w:left w:val="nil"/>
              <w:bottom w:val="single" w:sz="4" w:space="0" w:color="auto"/>
              <w:right w:val="single" w:sz="4" w:space="0" w:color="auto"/>
            </w:tcBorders>
            <w:shd w:val="clear" w:color="auto" w:fill="auto"/>
            <w:noWrap/>
            <w:vAlign w:val="center"/>
            <w:hideMark/>
          </w:tcPr>
          <w:p w14:paraId="761CE5F3"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87.0</w:t>
            </w:r>
          </w:p>
        </w:tc>
        <w:tc>
          <w:tcPr>
            <w:tcW w:w="1152" w:type="dxa"/>
            <w:tcBorders>
              <w:top w:val="nil"/>
              <w:left w:val="nil"/>
              <w:bottom w:val="single" w:sz="4" w:space="0" w:color="auto"/>
              <w:right w:val="single" w:sz="4" w:space="0" w:color="auto"/>
            </w:tcBorders>
            <w:shd w:val="clear" w:color="auto" w:fill="auto"/>
            <w:noWrap/>
            <w:vAlign w:val="center"/>
            <w:hideMark/>
          </w:tcPr>
          <w:p w14:paraId="4DAEA54B" w14:textId="77777777"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&lt; 87.0</w:t>
            </w:r>
          </w:p>
        </w:tc>
        <w:tc>
          <w:tcPr>
            <w:tcW w:w="1890" w:type="dxa"/>
            <w:tcBorders>
              <w:top w:val="nil"/>
              <w:left w:val="nil"/>
              <w:bottom w:val="single" w:sz="4" w:space="0" w:color="auto"/>
              <w:right w:val="single" w:sz="4" w:space="0" w:color="auto"/>
            </w:tcBorders>
            <w:shd w:val="clear" w:color="auto" w:fill="auto"/>
            <w:noWrap/>
            <w:vAlign w:val="center"/>
            <w:hideMark/>
          </w:tcPr>
          <w:p w14:paraId="40081E90" w14:textId="7220E296" w:rsidR="00541E74" w:rsidRPr="00A33460" w:rsidRDefault="00541E74" w:rsidP="00534AF9">
            <w:pPr>
              <w:spacing w:after="0" w:line="240" w:lineRule="auto"/>
              <w:jc w:val="center"/>
              <w:rPr>
                <w:rFonts w:ascii="Arial" w:eastAsia="Times New Roman" w:hAnsi="Arial" w:cs="Arial"/>
                <w:color w:val="000000"/>
                <w:sz w:val="18"/>
                <w:szCs w:val="18"/>
              </w:rPr>
            </w:pPr>
            <w:r w:rsidRPr="00A33460">
              <w:rPr>
                <w:rFonts w:ascii="Arial" w:eastAsia="Times New Roman" w:hAnsi="Arial" w:cs="Arial"/>
                <w:color w:val="000000"/>
                <w:sz w:val="18"/>
                <w:szCs w:val="18"/>
              </w:rPr>
              <w:t>REMEDIAL ACTION</w:t>
            </w:r>
          </w:p>
        </w:tc>
      </w:tr>
    </w:tbl>
    <w:p w14:paraId="6C3690DB" w14:textId="7EA0FA22" w:rsidR="00B43EFE" w:rsidRDefault="00B43EFE" w:rsidP="009B1765">
      <w:pPr>
        <w:tabs>
          <w:tab w:val="right" w:pos="216"/>
          <w:tab w:val="left" w:pos="288"/>
        </w:tabs>
        <w:spacing w:before="120" w:after="120" w:line="240" w:lineRule="auto"/>
      </w:pPr>
    </w:p>
    <w:sectPr w:rsidR="00B43EFE" w:rsidSect="009B525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FA24" w14:textId="77777777" w:rsidR="00B67B4F" w:rsidRDefault="00B67B4F">
      <w:r>
        <w:separator/>
      </w:r>
    </w:p>
    <w:p w14:paraId="6D702E83" w14:textId="77777777" w:rsidR="00B67B4F" w:rsidRDefault="00B67B4F"/>
    <w:p w14:paraId="03B545F7" w14:textId="77777777" w:rsidR="00B67B4F" w:rsidRDefault="00B67B4F"/>
    <w:p w14:paraId="5C49B745" w14:textId="77777777" w:rsidR="00B67B4F" w:rsidRDefault="00B67B4F"/>
    <w:p w14:paraId="1308C828" w14:textId="77777777" w:rsidR="00B67B4F" w:rsidRDefault="00B67B4F"/>
    <w:p w14:paraId="52F36432" w14:textId="77777777" w:rsidR="00B67B4F" w:rsidRDefault="00B67B4F"/>
    <w:p w14:paraId="5E57BECF" w14:textId="77777777" w:rsidR="00B67B4F" w:rsidRDefault="00B67B4F"/>
    <w:p w14:paraId="673FF392" w14:textId="77777777" w:rsidR="00B67B4F" w:rsidRDefault="00B67B4F"/>
    <w:p w14:paraId="1B702938" w14:textId="77777777" w:rsidR="00B67B4F" w:rsidRDefault="00B67B4F"/>
  </w:endnote>
  <w:endnote w:type="continuationSeparator" w:id="0">
    <w:p w14:paraId="046F4C23" w14:textId="77777777" w:rsidR="00B67B4F" w:rsidRDefault="00B67B4F">
      <w:r>
        <w:continuationSeparator/>
      </w:r>
    </w:p>
    <w:p w14:paraId="3CC88773" w14:textId="77777777" w:rsidR="00B67B4F" w:rsidRDefault="00B67B4F"/>
    <w:p w14:paraId="74010B1C" w14:textId="77777777" w:rsidR="00B67B4F" w:rsidRDefault="00B67B4F"/>
    <w:p w14:paraId="6714242F" w14:textId="77777777" w:rsidR="00B67B4F" w:rsidRDefault="00B67B4F"/>
    <w:p w14:paraId="0ABD1863" w14:textId="77777777" w:rsidR="00B67B4F" w:rsidRDefault="00B67B4F"/>
    <w:p w14:paraId="135D445E" w14:textId="77777777" w:rsidR="00B67B4F" w:rsidRDefault="00B67B4F"/>
    <w:p w14:paraId="7C1478AD" w14:textId="77777777" w:rsidR="00B67B4F" w:rsidRDefault="00B67B4F"/>
    <w:p w14:paraId="38667D55" w14:textId="77777777" w:rsidR="00B67B4F" w:rsidRDefault="00B67B4F"/>
    <w:p w14:paraId="4EE302B7" w14:textId="77777777" w:rsidR="00B67B4F" w:rsidRDefault="00B67B4F"/>
  </w:endnote>
  <w:endnote w:type="continuationNotice" w:id="1">
    <w:p w14:paraId="7A22B7F7" w14:textId="77777777" w:rsidR="00B67B4F" w:rsidRDefault="00B67B4F"/>
    <w:p w14:paraId="20F88262" w14:textId="77777777" w:rsidR="00B67B4F" w:rsidRDefault="00B67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CFD7" w14:textId="77777777" w:rsidR="00B67B4F" w:rsidRDefault="00B67B4F">
      <w:r>
        <w:separator/>
      </w:r>
    </w:p>
    <w:p w14:paraId="3F2A5DD2" w14:textId="77777777" w:rsidR="00B67B4F" w:rsidRDefault="00B67B4F"/>
    <w:p w14:paraId="575E1EA6" w14:textId="77777777" w:rsidR="00B67B4F" w:rsidRDefault="00B67B4F"/>
    <w:p w14:paraId="50CAAC95" w14:textId="77777777" w:rsidR="00B67B4F" w:rsidRDefault="00B67B4F"/>
    <w:p w14:paraId="0A4BA7A6" w14:textId="77777777" w:rsidR="00B67B4F" w:rsidRDefault="00B67B4F"/>
    <w:p w14:paraId="136B44C7" w14:textId="77777777" w:rsidR="00B67B4F" w:rsidRDefault="00B67B4F"/>
    <w:p w14:paraId="153A45FC" w14:textId="77777777" w:rsidR="00B67B4F" w:rsidRDefault="00B67B4F"/>
    <w:p w14:paraId="779B9728" w14:textId="77777777" w:rsidR="00B67B4F" w:rsidRDefault="00B67B4F"/>
    <w:p w14:paraId="2702C5BB" w14:textId="77777777" w:rsidR="00B67B4F" w:rsidRDefault="00B67B4F"/>
  </w:footnote>
  <w:footnote w:type="continuationSeparator" w:id="0">
    <w:p w14:paraId="2DA4DCAD" w14:textId="77777777" w:rsidR="00B67B4F" w:rsidRDefault="00B67B4F">
      <w:r>
        <w:continuationSeparator/>
      </w:r>
    </w:p>
    <w:p w14:paraId="28B2B623" w14:textId="77777777" w:rsidR="00B67B4F" w:rsidRDefault="00B67B4F"/>
    <w:p w14:paraId="6B0215A8" w14:textId="77777777" w:rsidR="00B67B4F" w:rsidRDefault="00B67B4F"/>
    <w:p w14:paraId="4A05D008" w14:textId="77777777" w:rsidR="00B67B4F" w:rsidRDefault="00B67B4F"/>
    <w:p w14:paraId="5C0AA270" w14:textId="77777777" w:rsidR="00B67B4F" w:rsidRDefault="00B67B4F"/>
    <w:p w14:paraId="1F06933B" w14:textId="77777777" w:rsidR="00B67B4F" w:rsidRDefault="00B67B4F"/>
    <w:p w14:paraId="5A4B1187" w14:textId="77777777" w:rsidR="00B67B4F" w:rsidRDefault="00B67B4F"/>
    <w:p w14:paraId="0CEC52BF" w14:textId="77777777" w:rsidR="00B67B4F" w:rsidRDefault="00B67B4F"/>
    <w:p w14:paraId="612F0FAC" w14:textId="77777777" w:rsidR="00B67B4F" w:rsidRDefault="00B67B4F"/>
  </w:footnote>
  <w:footnote w:type="continuationNotice" w:id="1">
    <w:p w14:paraId="759B92A2" w14:textId="77777777" w:rsidR="00B67B4F" w:rsidRDefault="00B67B4F"/>
    <w:p w14:paraId="6C55503A" w14:textId="77777777" w:rsidR="00B67B4F" w:rsidRDefault="00B67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D305239"/>
    <w:multiLevelType w:val="multilevel"/>
    <w:tmpl w:val="D9E246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15:restartNumberingAfterBreak="0">
    <w:nsid w:val="3EAF01F0"/>
    <w:multiLevelType w:val="hybridMultilevel"/>
    <w:tmpl w:val="CDF0151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4F30CF"/>
    <w:multiLevelType w:val="hybridMultilevel"/>
    <w:tmpl w:val="1624CB0C"/>
    <w:lvl w:ilvl="0" w:tplc="48204128">
      <w:start w:val="1"/>
      <w:numFmt w:val="decimal"/>
      <w:pStyle w:val="ListParagraph"/>
      <w:lvlText w:val="%1."/>
      <w:lvlJc w:val="left"/>
      <w:pPr>
        <w:ind w:left="3" w:hanging="435"/>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4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CF4753C"/>
    <w:multiLevelType w:val="hybridMultilevel"/>
    <w:tmpl w:val="93220E72"/>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644823544">
    <w:abstractNumId w:val="23"/>
  </w:num>
  <w:num w:numId="2" w16cid:durableId="859320117">
    <w:abstractNumId w:val="31"/>
  </w:num>
  <w:num w:numId="3" w16cid:durableId="1804424690">
    <w:abstractNumId w:val="38"/>
  </w:num>
  <w:num w:numId="4" w16cid:durableId="296186010">
    <w:abstractNumId w:val="15"/>
  </w:num>
  <w:num w:numId="5" w16cid:durableId="1011224906">
    <w:abstractNumId w:val="42"/>
  </w:num>
  <w:num w:numId="6" w16cid:durableId="1711421910">
    <w:abstractNumId w:val="41"/>
  </w:num>
  <w:num w:numId="7" w16cid:durableId="453183954">
    <w:abstractNumId w:val="17"/>
  </w:num>
  <w:num w:numId="8" w16cid:durableId="1262563226">
    <w:abstractNumId w:val="44"/>
  </w:num>
  <w:num w:numId="9" w16cid:durableId="743649467">
    <w:abstractNumId w:val="18"/>
  </w:num>
  <w:num w:numId="10" w16cid:durableId="2083404394">
    <w:abstractNumId w:val="32"/>
  </w:num>
  <w:num w:numId="11" w16cid:durableId="1994943492">
    <w:abstractNumId w:val="33"/>
  </w:num>
  <w:num w:numId="12" w16cid:durableId="318927094">
    <w:abstractNumId w:val="4"/>
  </w:num>
  <w:num w:numId="13" w16cid:durableId="1719166789">
    <w:abstractNumId w:val="30"/>
  </w:num>
  <w:num w:numId="14" w16cid:durableId="496267930">
    <w:abstractNumId w:val="22"/>
  </w:num>
  <w:num w:numId="15" w16cid:durableId="1618216105">
    <w:abstractNumId w:val="2"/>
  </w:num>
  <w:num w:numId="16" w16cid:durableId="69811660">
    <w:abstractNumId w:val="25"/>
  </w:num>
  <w:num w:numId="17" w16cid:durableId="152600512">
    <w:abstractNumId w:val="20"/>
  </w:num>
  <w:num w:numId="18" w16cid:durableId="746803685">
    <w:abstractNumId w:val="16"/>
  </w:num>
  <w:num w:numId="19" w16cid:durableId="804659610">
    <w:abstractNumId w:val="7"/>
  </w:num>
  <w:num w:numId="20" w16cid:durableId="25062097">
    <w:abstractNumId w:val="10"/>
  </w:num>
  <w:num w:numId="21" w16cid:durableId="1697580646">
    <w:abstractNumId w:val="5"/>
  </w:num>
  <w:num w:numId="22" w16cid:durableId="1251768161">
    <w:abstractNumId w:val="1"/>
  </w:num>
  <w:num w:numId="23" w16cid:durableId="2047683011">
    <w:abstractNumId w:val="37"/>
  </w:num>
  <w:num w:numId="24" w16cid:durableId="1337924231">
    <w:abstractNumId w:val="36"/>
  </w:num>
  <w:num w:numId="25" w16cid:durableId="347870064">
    <w:abstractNumId w:val="27"/>
  </w:num>
  <w:num w:numId="26" w16cid:durableId="434710987">
    <w:abstractNumId w:val="13"/>
  </w:num>
  <w:num w:numId="27" w16cid:durableId="860975807">
    <w:abstractNumId w:val="24"/>
  </w:num>
  <w:num w:numId="28" w16cid:durableId="885799210">
    <w:abstractNumId w:val="21"/>
  </w:num>
  <w:num w:numId="29" w16cid:durableId="256523103">
    <w:abstractNumId w:val="35"/>
  </w:num>
  <w:num w:numId="30" w16cid:durableId="958996553">
    <w:abstractNumId w:val="14"/>
  </w:num>
  <w:num w:numId="31" w16cid:durableId="791630119">
    <w:abstractNumId w:val="40"/>
  </w:num>
  <w:num w:numId="32" w16cid:durableId="468744789">
    <w:abstractNumId w:val="3"/>
  </w:num>
  <w:num w:numId="33" w16cid:durableId="1876578526">
    <w:abstractNumId w:val="6"/>
  </w:num>
  <w:num w:numId="34" w16cid:durableId="547572233">
    <w:abstractNumId w:val="8"/>
  </w:num>
  <w:num w:numId="35" w16cid:durableId="2133397293">
    <w:abstractNumId w:val="29"/>
  </w:num>
  <w:num w:numId="36" w16cid:durableId="829294241">
    <w:abstractNumId w:val="28"/>
  </w:num>
  <w:num w:numId="37" w16cid:durableId="16277966">
    <w:abstractNumId w:val="34"/>
  </w:num>
  <w:num w:numId="38" w16cid:durableId="862323496">
    <w:abstractNumId w:val="12"/>
  </w:num>
  <w:num w:numId="39" w16cid:durableId="682164898">
    <w:abstractNumId w:val="39"/>
  </w:num>
  <w:num w:numId="40" w16cid:durableId="1352954333">
    <w:abstractNumId w:val="0"/>
  </w:num>
  <w:num w:numId="41" w16cid:durableId="1565525686">
    <w:abstractNumId w:val="11"/>
  </w:num>
  <w:num w:numId="42" w16cid:durableId="1575311982">
    <w:abstractNumId w:val="26"/>
  </w:num>
  <w:num w:numId="43" w16cid:durableId="1857620678">
    <w:abstractNumId w:val="9"/>
  </w:num>
  <w:num w:numId="44" w16cid:durableId="837228801">
    <w:abstractNumId w:val="19"/>
  </w:num>
  <w:num w:numId="45" w16cid:durableId="292754986">
    <w:abstractNumId w:val="45"/>
  </w:num>
  <w:num w:numId="46" w16cid:durableId="2074506221">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74"/>
    <w:rsid w:val="00002A93"/>
    <w:rsid w:val="00002E61"/>
    <w:rsid w:val="000109ED"/>
    <w:rsid w:val="00011A38"/>
    <w:rsid w:val="0001243B"/>
    <w:rsid w:val="000138C0"/>
    <w:rsid w:val="00014FC5"/>
    <w:rsid w:val="00015CAF"/>
    <w:rsid w:val="000210FF"/>
    <w:rsid w:val="000236A1"/>
    <w:rsid w:val="00025F98"/>
    <w:rsid w:val="000278B0"/>
    <w:rsid w:val="00030E0D"/>
    <w:rsid w:val="0003239F"/>
    <w:rsid w:val="0003335D"/>
    <w:rsid w:val="00034A5F"/>
    <w:rsid w:val="00044827"/>
    <w:rsid w:val="000458A6"/>
    <w:rsid w:val="00046EA4"/>
    <w:rsid w:val="00053D1C"/>
    <w:rsid w:val="0006236D"/>
    <w:rsid w:val="0006267D"/>
    <w:rsid w:val="00062AB2"/>
    <w:rsid w:val="00063A78"/>
    <w:rsid w:val="00066DCE"/>
    <w:rsid w:val="00067275"/>
    <w:rsid w:val="00067D13"/>
    <w:rsid w:val="00085D86"/>
    <w:rsid w:val="00087AEF"/>
    <w:rsid w:val="00093EE3"/>
    <w:rsid w:val="0009744A"/>
    <w:rsid w:val="000B2D96"/>
    <w:rsid w:val="000B6EC1"/>
    <w:rsid w:val="000B77FC"/>
    <w:rsid w:val="000B780E"/>
    <w:rsid w:val="000C32DA"/>
    <w:rsid w:val="000C55AC"/>
    <w:rsid w:val="000D2CE1"/>
    <w:rsid w:val="000D4996"/>
    <w:rsid w:val="000D59BA"/>
    <w:rsid w:val="000E163B"/>
    <w:rsid w:val="000E37E9"/>
    <w:rsid w:val="00100222"/>
    <w:rsid w:val="00101FA4"/>
    <w:rsid w:val="00103605"/>
    <w:rsid w:val="00103A73"/>
    <w:rsid w:val="0010535D"/>
    <w:rsid w:val="0010737D"/>
    <w:rsid w:val="00107EA2"/>
    <w:rsid w:val="0011221F"/>
    <w:rsid w:val="0011750B"/>
    <w:rsid w:val="00120633"/>
    <w:rsid w:val="00120863"/>
    <w:rsid w:val="00125F1A"/>
    <w:rsid w:val="001266AD"/>
    <w:rsid w:val="00134F9B"/>
    <w:rsid w:val="001359BA"/>
    <w:rsid w:val="00144675"/>
    <w:rsid w:val="00151BC1"/>
    <w:rsid w:val="00157F82"/>
    <w:rsid w:val="00162B86"/>
    <w:rsid w:val="00162E00"/>
    <w:rsid w:val="00166639"/>
    <w:rsid w:val="00186A0E"/>
    <w:rsid w:val="00192164"/>
    <w:rsid w:val="001A12B8"/>
    <w:rsid w:val="001A6E10"/>
    <w:rsid w:val="001B0816"/>
    <w:rsid w:val="001B20FA"/>
    <w:rsid w:val="001B59AC"/>
    <w:rsid w:val="001B5A2E"/>
    <w:rsid w:val="001B79E4"/>
    <w:rsid w:val="001C4CCC"/>
    <w:rsid w:val="001C71ED"/>
    <w:rsid w:val="001C739C"/>
    <w:rsid w:val="001E232F"/>
    <w:rsid w:val="001E63B7"/>
    <w:rsid w:val="001E70AF"/>
    <w:rsid w:val="001E786E"/>
    <w:rsid w:val="001E7C66"/>
    <w:rsid w:val="001F3EE1"/>
    <w:rsid w:val="00200C74"/>
    <w:rsid w:val="0020101D"/>
    <w:rsid w:val="00202027"/>
    <w:rsid w:val="002050FE"/>
    <w:rsid w:val="00205814"/>
    <w:rsid w:val="00207066"/>
    <w:rsid w:val="00210311"/>
    <w:rsid w:val="002125F9"/>
    <w:rsid w:val="002128F8"/>
    <w:rsid w:val="00212D36"/>
    <w:rsid w:val="00213327"/>
    <w:rsid w:val="002215D2"/>
    <w:rsid w:val="00222521"/>
    <w:rsid w:val="0022753F"/>
    <w:rsid w:val="00230163"/>
    <w:rsid w:val="00230200"/>
    <w:rsid w:val="00232B4C"/>
    <w:rsid w:val="002359DE"/>
    <w:rsid w:val="002372A2"/>
    <w:rsid w:val="00241B4E"/>
    <w:rsid w:val="00245DBD"/>
    <w:rsid w:val="002460F6"/>
    <w:rsid w:val="00247880"/>
    <w:rsid w:val="002544CC"/>
    <w:rsid w:val="00254E2F"/>
    <w:rsid w:val="00262ED6"/>
    <w:rsid w:val="00265243"/>
    <w:rsid w:val="00265AED"/>
    <w:rsid w:val="00273344"/>
    <w:rsid w:val="00275B6C"/>
    <w:rsid w:val="0028373E"/>
    <w:rsid w:val="002A2BC3"/>
    <w:rsid w:val="002A34ED"/>
    <w:rsid w:val="002A3E7E"/>
    <w:rsid w:val="002B4A57"/>
    <w:rsid w:val="002B7D6B"/>
    <w:rsid w:val="002C430D"/>
    <w:rsid w:val="002C4750"/>
    <w:rsid w:val="002C4A81"/>
    <w:rsid w:val="002D049B"/>
    <w:rsid w:val="002D3444"/>
    <w:rsid w:val="002D61F0"/>
    <w:rsid w:val="002D7D20"/>
    <w:rsid w:val="002E2855"/>
    <w:rsid w:val="002E5520"/>
    <w:rsid w:val="002E64E6"/>
    <w:rsid w:val="002E657C"/>
    <w:rsid w:val="002F116F"/>
    <w:rsid w:val="002F59DD"/>
    <w:rsid w:val="002F7F32"/>
    <w:rsid w:val="00300A79"/>
    <w:rsid w:val="00302597"/>
    <w:rsid w:val="0030619F"/>
    <w:rsid w:val="00312E09"/>
    <w:rsid w:val="0032097E"/>
    <w:rsid w:val="003218DF"/>
    <w:rsid w:val="00323052"/>
    <w:rsid w:val="0032511A"/>
    <w:rsid w:val="00333AD1"/>
    <w:rsid w:val="00335842"/>
    <w:rsid w:val="00335D85"/>
    <w:rsid w:val="00340346"/>
    <w:rsid w:val="00340B2A"/>
    <w:rsid w:val="00347A5E"/>
    <w:rsid w:val="003543EA"/>
    <w:rsid w:val="00355B30"/>
    <w:rsid w:val="00355C6E"/>
    <w:rsid w:val="00355E25"/>
    <w:rsid w:val="0035681E"/>
    <w:rsid w:val="00360215"/>
    <w:rsid w:val="00360AF3"/>
    <w:rsid w:val="00360B15"/>
    <w:rsid w:val="00365732"/>
    <w:rsid w:val="00367712"/>
    <w:rsid w:val="003677A3"/>
    <w:rsid w:val="00370B3F"/>
    <w:rsid w:val="0037264D"/>
    <w:rsid w:val="00374705"/>
    <w:rsid w:val="0038181F"/>
    <w:rsid w:val="003841BC"/>
    <w:rsid w:val="003851E6"/>
    <w:rsid w:val="0039540A"/>
    <w:rsid w:val="00396A8D"/>
    <w:rsid w:val="0039791A"/>
    <w:rsid w:val="003A37EF"/>
    <w:rsid w:val="003A444B"/>
    <w:rsid w:val="003A5CD0"/>
    <w:rsid w:val="003B065A"/>
    <w:rsid w:val="003B5DF4"/>
    <w:rsid w:val="003B774C"/>
    <w:rsid w:val="003C1A92"/>
    <w:rsid w:val="003D1F52"/>
    <w:rsid w:val="003E24AE"/>
    <w:rsid w:val="003E665E"/>
    <w:rsid w:val="003E75A8"/>
    <w:rsid w:val="003F23A0"/>
    <w:rsid w:val="003F524B"/>
    <w:rsid w:val="0040354B"/>
    <w:rsid w:val="00403A9B"/>
    <w:rsid w:val="004070D4"/>
    <w:rsid w:val="004077A4"/>
    <w:rsid w:val="00407B36"/>
    <w:rsid w:val="004166A9"/>
    <w:rsid w:val="00416AF3"/>
    <w:rsid w:val="00417396"/>
    <w:rsid w:val="00426E0A"/>
    <w:rsid w:val="00433934"/>
    <w:rsid w:val="00434920"/>
    <w:rsid w:val="0044180E"/>
    <w:rsid w:val="00442148"/>
    <w:rsid w:val="00442157"/>
    <w:rsid w:val="00442B95"/>
    <w:rsid w:val="00442C10"/>
    <w:rsid w:val="0044624A"/>
    <w:rsid w:val="0044711F"/>
    <w:rsid w:val="00447AED"/>
    <w:rsid w:val="00450383"/>
    <w:rsid w:val="00454808"/>
    <w:rsid w:val="00461982"/>
    <w:rsid w:val="00464564"/>
    <w:rsid w:val="004723BE"/>
    <w:rsid w:val="004765F9"/>
    <w:rsid w:val="00477CD1"/>
    <w:rsid w:val="00477D62"/>
    <w:rsid w:val="00481966"/>
    <w:rsid w:val="00486EDD"/>
    <w:rsid w:val="00493D46"/>
    <w:rsid w:val="0049613E"/>
    <w:rsid w:val="004A043B"/>
    <w:rsid w:val="004A05C1"/>
    <w:rsid w:val="004A0744"/>
    <w:rsid w:val="004A1944"/>
    <w:rsid w:val="004A33F8"/>
    <w:rsid w:val="004A4D5F"/>
    <w:rsid w:val="004A55C7"/>
    <w:rsid w:val="004B0B01"/>
    <w:rsid w:val="004B31C3"/>
    <w:rsid w:val="004B45B2"/>
    <w:rsid w:val="004B5AB3"/>
    <w:rsid w:val="004B5EFF"/>
    <w:rsid w:val="004C17A7"/>
    <w:rsid w:val="004C4FCE"/>
    <w:rsid w:val="004C55EC"/>
    <w:rsid w:val="004C587B"/>
    <w:rsid w:val="004C6142"/>
    <w:rsid w:val="004C7876"/>
    <w:rsid w:val="004D12AF"/>
    <w:rsid w:val="004D378F"/>
    <w:rsid w:val="004D39BF"/>
    <w:rsid w:val="004D5797"/>
    <w:rsid w:val="004D5961"/>
    <w:rsid w:val="004D5E39"/>
    <w:rsid w:val="004D6268"/>
    <w:rsid w:val="004D7A0A"/>
    <w:rsid w:val="004E1E66"/>
    <w:rsid w:val="004E4791"/>
    <w:rsid w:val="004E4B14"/>
    <w:rsid w:val="004E4D93"/>
    <w:rsid w:val="004E5391"/>
    <w:rsid w:val="004E569B"/>
    <w:rsid w:val="004E6702"/>
    <w:rsid w:val="004F3006"/>
    <w:rsid w:val="004F34F8"/>
    <w:rsid w:val="004F58CE"/>
    <w:rsid w:val="0050096B"/>
    <w:rsid w:val="0050154D"/>
    <w:rsid w:val="00505E08"/>
    <w:rsid w:val="0050617B"/>
    <w:rsid w:val="005063DE"/>
    <w:rsid w:val="005121F6"/>
    <w:rsid w:val="00513E13"/>
    <w:rsid w:val="00521054"/>
    <w:rsid w:val="00525EFC"/>
    <w:rsid w:val="00527E92"/>
    <w:rsid w:val="00535B1B"/>
    <w:rsid w:val="00537E51"/>
    <w:rsid w:val="00541E61"/>
    <w:rsid w:val="00541E74"/>
    <w:rsid w:val="00542140"/>
    <w:rsid w:val="00546295"/>
    <w:rsid w:val="00546FB9"/>
    <w:rsid w:val="00554081"/>
    <w:rsid w:val="00555A70"/>
    <w:rsid w:val="005613B9"/>
    <w:rsid w:val="00562C78"/>
    <w:rsid w:val="005732E4"/>
    <w:rsid w:val="005810E3"/>
    <w:rsid w:val="005811F8"/>
    <w:rsid w:val="00582C58"/>
    <w:rsid w:val="00583991"/>
    <w:rsid w:val="00587136"/>
    <w:rsid w:val="005937EC"/>
    <w:rsid w:val="00594C2B"/>
    <w:rsid w:val="005A6128"/>
    <w:rsid w:val="005B0B8B"/>
    <w:rsid w:val="005B3656"/>
    <w:rsid w:val="005B4CB5"/>
    <w:rsid w:val="005C0491"/>
    <w:rsid w:val="005C3B38"/>
    <w:rsid w:val="005C52CA"/>
    <w:rsid w:val="005C68B7"/>
    <w:rsid w:val="005D0ED0"/>
    <w:rsid w:val="005D1F23"/>
    <w:rsid w:val="005E7933"/>
    <w:rsid w:val="005F15EF"/>
    <w:rsid w:val="005F304B"/>
    <w:rsid w:val="005F78B5"/>
    <w:rsid w:val="00602515"/>
    <w:rsid w:val="00611787"/>
    <w:rsid w:val="006260B3"/>
    <w:rsid w:val="0063287E"/>
    <w:rsid w:val="006333DD"/>
    <w:rsid w:val="006336E0"/>
    <w:rsid w:val="0063574A"/>
    <w:rsid w:val="0064764C"/>
    <w:rsid w:val="006502CD"/>
    <w:rsid w:val="00656CEA"/>
    <w:rsid w:val="0066515A"/>
    <w:rsid w:val="00670ABC"/>
    <w:rsid w:val="00673355"/>
    <w:rsid w:val="00675098"/>
    <w:rsid w:val="00675481"/>
    <w:rsid w:val="0067562E"/>
    <w:rsid w:val="006860B1"/>
    <w:rsid w:val="00686D51"/>
    <w:rsid w:val="0069211F"/>
    <w:rsid w:val="006922C3"/>
    <w:rsid w:val="00697CA7"/>
    <w:rsid w:val="00697EF9"/>
    <w:rsid w:val="006A043A"/>
    <w:rsid w:val="006A1386"/>
    <w:rsid w:val="006B384C"/>
    <w:rsid w:val="006B3B29"/>
    <w:rsid w:val="006B6BAB"/>
    <w:rsid w:val="006C0EBB"/>
    <w:rsid w:val="006C1DF8"/>
    <w:rsid w:val="006C6D4E"/>
    <w:rsid w:val="006C6DDD"/>
    <w:rsid w:val="006C7E23"/>
    <w:rsid w:val="006D05CF"/>
    <w:rsid w:val="006D3530"/>
    <w:rsid w:val="006E2489"/>
    <w:rsid w:val="006E42FC"/>
    <w:rsid w:val="006E6249"/>
    <w:rsid w:val="006F4498"/>
    <w:rsid w:val="00705025"/>
    <w:rsid w:val="0070676E"/>
    <w:rsid w:val="007136BC"/>
    <w:rsid w:val="00713B8C"/>
    <w:rsid w:val="007141FB"/>
    <w:rsid w:val="0071613F"/>
    <w:rsid w:val="00721D1C"/>
    <w:rsid w:val="0072217D"/>
    <w:rsid w:val="00722E25"/>
    <w:rsid w:val="0072532B"/>
    <w:rsid w:val="0072722D"/>
    <w:rsid w:val="00727883"/>
    <w:rsid w:val="0073182C"/>
    <w:rsid w:val="00731BF1"/>
    <w:rsid w:val="00734FD6"/>
    <w:rsid w:val="00735590"/>
    <w:rsid w:val="00747AA9"/>
    <w:rsid w:val="00750634"/>
    <w:rsid w:val="0075495C"/>
    <w:rsid w:val="0075740B"/>
    <w:rsid w:val="00760766"/>
    <w:rsid w:val="0076235D"/>
    <w:rsid w:val="0076267A"/>
    <w:rsid w:val="00762B54"/>
    <w:rsid w:val="00765650"/>
    <w:rsid w:val="007664C4"/>
    <w:rsid w:val="007709EA"/>
    <w:rsid w:val="0077483F"/>
    <w:rsid w:val="0077587F"/>
    <w:rsid w:val="0078309B"/>
    <w:rsid w:val="00793DA5"/>
    <w:rsid w:val="00793DF2"/>
    <w:rsid w:val="007958CE"/>
    <w:rsid w:val="0079592F"/>
    <w:rsid w:val="00795E01"/>
    <w:rsid w:val="007A0FD0"/>
    <w:rsid w:val="007A1B69"/>
    <w:rsid w:val="007A21CD"/>
    <w:rsid w:val="007A7E6E"/>
    <w:rsid w:val="007B1E81"/>
    <w:rsid w:val="007B29E7"/>
    <w:rsid w:val="007B5D49"/>
    <w:rsid w:val="007C08A7"/>
    <w:rsid w:val="007C4180"/>
    <w:rsid w:val="007C500E"/>
    <w:rsid w:val="007D0014"/>
    <w:rsid w:val="007D04D3"/>
    <w:rsid w:val="007D42DA"/>
    <w:rsid w:val="007E3ECA"/>
    <w:rsid w:val="007E5058"/>
    <w:rsid w:val="007E5A96"/>
    <w:rsid w:val="007E7E3F"/>
    <w:rsid w:val="008042B3"/>
    <w:rsid w:val="008048EB"/>
    <w:rsid w:val="0081196C"/>
    <w:rsid w:val="008130AC"/>
    <w:rsid w:val="00817A13"/>
    <w:rsid w:val="00825677"/>
    <w:rsid w:val="00830D3B"/>
    <w:rsid w:val="0083147A"/>
    <w:rsid w:val="008357C1"/>
    <w:rsid w:val="00836766"/>
    <w:rsid w:val="00845147"/>
    <w:rsid w:val="00845A6C"/>
    <w:rsid w:val="008460E9"/>
    <w:rsid w:val="008505C5"/>
    <w:rsid w:val="00852177"/>
    <w:rsid w:val="0085418E"/>
    <w:rsid w:val="0085614D"/>
    <w:rsid w:val="00860D10"/>
    <w:rsid w:val="00864A83"/>
    <w:rsid w:val="00872DD7"/>
    <w:rsid w:val="00873392"/>
    <w:rsid w:val="00876529"/>
    <w:rsid w:val="00882EB5"/>
    <w:rsid w:val="00886481"/>
    <w:rsid w:val="00893B8B"/>
    <w:rsid w:val="00893ECB"/>
    <w:rsid w:val="00893F4E"/>
    <w:rsid w:val="00895FEF"/>
    <w:rsid w:val="0089634F"/>
    <w:rsid w:val="008A0FF0"/>
    <w:rsid w:val="008A4E2F"/>
    <w:rsid w:val="008A556F"/>
    <w:rsid w:val="008A70C4"/>
    <w:rsid w:val="008B0B7F"/>
    <w:rsid w:val="008B29E2"/>
    <w:rsid w:val="008C0AC8"/>
    <w:rsid w:val="008C3886"/>
    <w:rsid w:val="008C4546"/>
    <w:rsid w:val="008C5D40"/>
    <w:rsid w:val="008D1290"/>
    <w:rsid w:val="008D1850"/>
    <w:rsid w:val="008D272C"/>
    <w:rsid w:val="008D3026"/>
    <w:rsid w:val="008D6359"/>
    <w:rsid w:val="008D65A5"/>
    <w:rsid w:val="008E2DE3"/>
    <w:rsid w:val="00901B23"/>
    <w:rsid w:val="00904A8D"/>
    <w:rsid w:val="00907CC5"/>
    <w:rsid w:val="00911A06"/>
    <w:rsid w:val="0091390E"/>
    <w:rsid w:val="00913E9F"/>
    <w:rsid w:val="009148F2"/>
    <w:rsid w:val="0091635D"/>
    <w:rsid w:val="009170AC"/>
    <w:rsid w:val="00920C5D"/>
    <w:rsid w:val="00923EC7"/>
    <w:rsid w:val="0093496F"/>
    <w:rsid w:val="0093707F"/>
    <w:rsid w:val="00940307"/>
    <w:rsid w:val="00941458"/>
    <w:rsid w:val="00941AD5"/>
    <w:rsid w:val="00941C5C"/>
    <w:rsid w:val="00943524"/>
    <w:rsid w:val="0095337B"/>
    <w:rsid w:val="009658C8"/>
    <w:rsid w:val="00966715"/>
    <w:rsid w:val="0097054F"/>
    <w:rsid w:val="0097385B"/>
    <w:rsid w:val="009739A3"/>
    <w:rsid w:val="0097734D"/>
    <w:rsid w:val="00992252"/>
    <w:rsid w:val="00996D7B"/>
    <w:rsid w:val="009974B1"/>
    <w:rsid w:val="009A0F8E"/>
    <w:rsid w:val="009A24EB"/>
    <w:rsid w:val="009A2641"/>
    <w:rsid w:val="009A4641"/>
    <w:rsid w:val="009A4773"/>
    <w:rsid w:val="009A541C"/>
    <w:rsid w:val="009A7140"/>
    <w:rsid w:val="009B1765"/>
    <w:rsid w:val="009B3125"/>
    <w:rsid w:val="009B4081"/>
    <w:rsid w:val="009B5254"/>
    <w:rsid w:val="009C2824"/>
    <w:rsid w:val="009C48E1"/>
    <w:rsid w:val="009C4952"/>
    <w:rsid w:val="009C65CC"/>
    <w:rsid w:val="009C66FD"/>
    <w:rsid w:val="009C6D7C"/>
    <w:rsid w:val="009D1E06"/>
    <w:rsid w:val="009D54A0"/>
    <w:rsid w:val="009D7C08"/>
    <w:rsid w:val="009E1B0F"/>
    <w:rsid w:val="009E2AB8"/>
    <w:rsid w:val="009E2CE4"/>
    <w:rsid w:val="009E60BF"/>
    <w:rsid w:val="009F39F5"/>
    <w:rsid w:val="009F62CB"/>
    <w:rsid w:val="00A05F9F"/>
    <w:rsid w:val="00A061AC"/>
    <w:rsid w:val="00A10B0F"/>
    <w:rsid w:val="00A1392A"/>
    <w:rsid w:val="00A14AFB"/>
    <w:rsid w:val="00A23220"/>
    <w:rsid w:val="00A33460"/>
    <w:rsid w:val="00A336F1"/>
    <w:rsid w:val="00A37D1C"/>
    <w:rsid w:val="00A41BC7"/>
    <w:rsid w:val="00A51803"/>
    <w:rsid w:val="00A546E4"/>
    <w:rsid w:val="00A6170F"/>
    <w:rsid w:val="00A70247"/>
    <w:rsid w:val="00A73BCD"/>
    <w:rsid w:val="00A80096"/>
    <w:rsid w:val="00A83C1D"/>
    <w:rsid w:val="00A854AC"/>
    <w:rsid w:val="00A85603"/>
    <w:rsid w:val="00A861B5"/>
    <w:rsid w:val="00A90C90"/>
    <w:rsid w:val="00AA6DBF"/>
    <w:rsid w:val="00AA7C9A"/>
    <w:rsid w:val="00AB1507"/>
    <w:rsid w:val="00AB1EE5"/>
    <w:rsid w:val="00AB30BD"/>
    <w:rsid w:val="00AB437C"/>
    <w:rsid w:val="00AC6EB5"/>
    <w:rsid w:val="00AD3411"/>
    <w:rsid w:val="00AE4FFE"/>
    <w:rsid w:val="00AE5404"/>
    <w:rsid w:val="00B050CB"/>
    <w:rsid w:val="00B06DFC"/>
    <w:rsid w:val="00B13944"/>
    <w:rsid w:val="00B14122"/>
    <w:rsid w:val="00B16B0E"/>
    <w:rsid w:val="00B1708E"/>
    <w:rsid w:val="00B2278A"/>
    <w:rsid w:val="00B23A47"/>
    <w:rsid w:val="00B24D7E"/>
    <w:rsid w:val="00B267BF"/>
    <w:rsid w:val="00B3581A"/>
    <w:rsid w:val="00B43EFE"/>
    <w:rsid w:val="00B46612"/>
    <w:rsid w:val="00B47345"/>
    <w:rsid w:val="00B52B02"/>
    <w:rsid w:val="00B53714"/>
    <w:rsid w:val="00B54F54"/>
    <w:rsid w:val="00B625AB"/>
    <w:rsid w:val="00B62680"/>
    <w:rsid w:val="00B62EFB"/>
    <w:rsid w:val="00B640A4"/>
    <w:rsid w:val="00B656B5"/>
    <w:rsid w:val="00B67B4F"/>
    <w:rsid w:val="00B7291F"/>
    <w:rsid w:val="00B74A80"/>
    <w:rsid w:val="00B76118"/>
    <w:rsid w:val="00B767A5"/>
    <w:rsid w:val="00B90D36"/>
    <w:rsid w:val="00B9254C"/>
    <w:rsid w:val="00B92BB9"/>
    <w:rsid w:val="00B95223"/>
    <w:rsid w:val="00B96C1B"/>
    <w:rsid w:val="00B977B0"/>
    <w:rsid w:val="00B97DBF"/>
    <w:rsid w:val="00BA19B8"/>
    <w:rsid w:val="00BA2159"/>
    <w:rsid w:val="00BB1047"/>
    <w:rsid w:val="00BB478F"/>
    <w:rsid w:val="00BB5B81"/>
    <w:rsid w:val="00BC0679"/>
    <w:rsid w:val="00BC2655"/>
    <w:rsid w:val="00BC46D7"/>
    <w:rsid w:val="00BC55C1"/>
    <w:rsid w:val="00BD1519"/>
    <w:rsid w:val="00BD2559"/>
    <w:rsid w:val="00BD4C6A"/>
    <w:rsid w:val="00BD5BDA"/>
    <w:rsid w:val="00BE059A"/>
    <w:rsid w:val="00BE2267"/>
    <w:rsid w:val="00BE4DA7"/>
    <w:rsid w:val="00BE71EF"/>
    <w:rsid w:val="00BE75F1"/>
    <w:rsid w:val="00BF193F"/>
    <w:rsid w:val="00C01673"/>
    <w:rsid w:val="00C06ECD"/>
    <w:rsid w:val="00C10269"/>
    <w:rsid w:val="00C1293C"/>
    <w:rsid w:val="00C13FBE"/>
    <w:rsid w:val="00C158F5"/>
    <w:rsid w:val="00C16F23"/>
    <w:rsid w:val="00C272E7"/>
    <w:rsid w:val="00C277AF"/>
    <w:rsid w:val="00C30098"/>
    <w:rsid w:val="00C32AEE"/>
    <w:rsid w:val="00C363AD"/>
    <w:rsid w:val="00C3754E"/>
    <w:rsid w:val="00C3784B"/>
    <w:rsid w:val="00C4101F"/>
    <w:rsid w:val="00C522AB"/>
    <w:rsid w:val="00C533C7"/>
    <w:rsid w:val="00C60E38"/>
    <w:rsid w:val="00C61F70"/>
    <w:rsid w:val="00C62850"/>
    <w:rsid w:val="00C65E7B"/>
    <w:rsid w:val="00C74B5A"/>
    <w:rsid w:val="00C77FB0"/>
    <w:rsid w:val="00C86C23"/>
    <w:rsid w:val="00C904CC"/>
    <w:rsid w:val="00C90CAF"/>
    <w:rsid w:val="00C95192"/>
    <w:rsid w:val="00C95778"/>
    <w:rsid w:val="00CA2FA4"/>
    <w:rsid w:val="00CA390C"/>
    <w:rsid w:val="00CA4876"/>
    <w:rsid w:val="00CA60B2"/>
    <w:rsid w:val="00CA76D6"/>
    <w:rsid w:val="00CA7DD2"/>
    <w:rsid w:val="00CC13AD"/>
    <w:rsid w:val="00CC2373"/>
    <w:rsid w:val="00CC4A3F"/>
    <w:rsid w:val="00CD09D2"/>
    <w:rsid w:val="00CE53FC"/>
    <w:rsid w:val="00CE55DE"/>
    <w:rsid w:val="00CF561D"/>
    <w:rsid w:val="00CF770F"/>
    <w:rsid w:val="00CF7853"/>
    <w:rsid w:val="00D05EE5"/>
    <w:rsid w:val="00D20079"/>
    <w:rsid w:val="00D201A5"/>
    <w:rsid w:val="00D20C64"/>
    <w:rsid w:val="00D217D0"/>
    <w:rsid w:val="00D22EAC"/>
    <w:rsid w:val="00D23F17"/>
    <w:rsid w:val="00D253F1"/>
    <w:rsid w:val="00D259E9"/>
    <w:rsid w:val="00D27914"/>
    <w:rsid w:val="00D31BEC"/>
    <w:rsid w:val="00D32F04"/>
    <w:rsid w:val="00D34AE9"/>
    <w:rsid w:val="00D34F0E"/>
    <w:rsid w:val="00D3765B"/>
    <w:rsid w:val="00D40D2C"/>
    <w:rsid w:val="00D40E3B"/>
    <w:rsid w:val="00D43B79"/>
    <w:rsid w:val="00D5011A"/>
    <w:rsid w:val="00D57F2F"/>
    <w:rsid w:val="00D626A3"/>
    <w:rsid w:val="00D63500"/>
    <w:rsid w:val="00D64A71"/>
    <w:rsid w:val="00D72A60"/>
    <w:rsid w:val="00D7533B"/>
    <w:rsid w:val="00D75D9B"/>
    <w:rsid w:val="00D76EE4"/>
    <w:rsid w:val="00D82A0A"/>
    <w:rsid w:val="00D83FF1"/>
    <w:rsid w:val="00D87088"/>
    <w:rsid w:val="00D877A7"/>
    <w:rsid w:val="00D87836"/>
    <w:rsid w:val="00DA0E76"/>
    <w:rsid w:val="00DA489F"/>
    <w:rsid w:val="00DA7CC4"/>
    <w:rsid w:val="00DB01BA"/>
    <w:rsid w:val="00DB48F2"/>
    <w:rsid w:val="00DB4C2E"/>
    <w:rsid w:val="00DB605A"/>
    <w:rsid w:val="00DC2983"/>
    <w:rsid w:val="00DC37ED"/>
    <w:rsid w:val="00DD11C4"/>
    <w:rsid w:val="00DD1426"/>
    <w:rsid w:val="00DD182D"/>
    <w:rsid w:val="00DD1DB0"/>
    <w:rsid w:val="00DD4419"/>
    <w:rsid w:val="00DD4F4E"/>
    <w:rsid w:val="00DE48BA"/>
    <w:rsid w:val="00DE61E3"/>
    <w:rsid w:val="00DE6363"/>
    <w:rsid w:val="00DF1E41"/>
    <w:rsid w:val="00DF2224"/>
    <w:rsid w:val="00DF2D4E"/>
    <w:rsid w:val="00DF523B"/>
    <w:rsid w:val="00E01992"/>
    <w:rsid w:val="00E10380"/>
    <w:rsid w:val="00E10695"/>
    <w:rsid w:val="00E12B20"/>
    <w:rsid w:val="00E229F1"/>
    <w:rsid w:val="00E23173"/>
    <w:rsid w:val="00E238A8"/>
    <w:rsid w:val="00E25351"/>
    <w:rsid w:val="00E25575"/>
    <w:rsid w:val="00E327AC"/>
    <w:rsid w:val="00E3795F"/>
    <w:rsid w:val="00E43C88"/>
    <w:rsid w:val="00E46C3B"/>
    <w:rsid w:val="00E6058A"/>
    <w:rsid w:val="00E608CC"/>
    <w:rsid w:val="00E60AC1"/>
    <w:rsid w:val="00E62D62"/>
    <w:rsid w:val="00E719B5"/>
    <w:rsid w:val="00E7202F"/>
    <w:rsid w:val="00E77C6A"/>
    <w:rsid w:val="00E80EB5"/>
    <w:rsid w:val="00E8117D"/>
    <w:rsid w:val="00E83473"/>
    <w:rsid w:val="00E853F7"/>
    <w:rsid w:val="00E86F33"/>
    <w:rsid w:val="00E95D39"/>
    <w:rsid w:val="00E9659F"/>
    <w:rsid w:val="00EB0480"/>
    <w:rsid w:val="00EB0B8F"/>
    <w:rsid w:val="00EB38E2"/>
    <w:rsid w:val="00EB5FBE"/>
    <w:rsid w:val="00EB7CAB"/>
    <w:rsid w:val="00EC10E6"/>
    <w:rsid w:val="00EC2394"/>
    <w:rsid w:val="00EC3CB8"/>
    <w:rsid w:val="00EC6072"/>
    <w:rsid w:val="00EC670A"/>
    <w:rsid w:val="00EC6979"/>
    <w:rsid w:val="00ED1CD7"/>
    <w:rsid w:val="00EE7D31"/>
    <w:rsid w:val="00EF14C8"/>
    <w:rsid w:val="00EF3BC6"/>
    <w:rsid w:val="00EF4D29"/>
    <w:rsid w:val="00EF5752"/>
    <w:rsid w:val="00F06F38"/>
    <w:rsid w:val="00F12ADF"/>
    <w:rsid w:val="00F1469E"/>
    <w:rsid w:val="00F14944"/>
    <w:rsid w:val="00F20191"/>
    <w:rsid w:val="00F21A55"/>
    <w:rsid w:val="00F22E3D"/>
    <w:rsid w:val="00F23242"/>
    <w:rsid w:val="00F300B8"/>
    <w:rsid w:val="00F314E5"/>
    <w:rsid w:val="00F33438"/>
    <w:rsid w:val="00F427DB"/>
    <w:rsid w:val="00F45127"/>
    <w:rsid w:val="00F47013"/>
    <w:rsid w:val="00F6025D"/>
    <w:rsid w:val="00F6040A"/>
    <w:rsid w:val="00F67282"/>
    <w:rsid w:val="00F75F7A"/>
    <w:rsid w:val="00F765FC"/>
    <w:rsid w:val="00F86575"/>
    <w:rsid w:val="00F86E4F"/>
    <w:rsid w:val="00F87AAD"/>
    <w:rsid w:val="00F907A9"/>
    <w:rsid w:val="00FB118F"/>
    <w:rsid w:val="00FB4647"/>
    <w:rsid w:val="00FB52FF"/>
    <w:rsid w:val="00FB7F17"/>
    <w:rsid w:val="00FC10F7"/>
    <w:rsid w:val="00FC3A30"/>
    <w:rsid w:val="00FC4660"/>
    <w:rsid w:val="00FC577F"/>
    <w:rsid w:val="00FD2D81"/>
    <w:rsid w:val="00FD5529"/>
    <w:rsid w:val="00FD72CE"/>
    <w:rsid w:val="00FE52D2"/>
    <w:rsid w:val="00FE54E2"/>
    <w:rsid w:val="00FE5DE5"/>
    <w:rsid w:val="00FF17A3"/>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44CA"/>
  <w15:docId w15:val="{BA9A2CB2-0F91-4110-A1C1-1E2C2A17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74"/>
    <w:pPr>
      <w:spacing w:after="160" w:line="259" w:lineRule="auto"/>
    </w:p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1"/>
      </w:numPr>
      <w:tabs>
        <w:tab w:val="center" w:pos="4680"/>
        <w:tab w:val="right" w:pos="9270"/>
      </w:tabs>
      <w:spacing w:before="240" w:after="240"/>
      <w:ind w:hanging="720"/>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eastAsiaTheme="minorEastAsia"/>
    </w:rPr>
  </w:style>
  <w:style w:type="paragraph" w:styleId="TOC3">
    <w:name w:val="toc 3"/>
    <w:basedOn w:val="Normal"/>
    <w:next w:val="Normal"/>
    <w:autoRedefine/>
    <w:uiPriority w:val="39"/>
    <w:unhideWhenUsed/>
    <w:qFormat/>
    <w:rsid w:val="00323052"/>
    <w:pPr>
      <w:spacing w:after="100"/>
      <w:ind w:left="440"/>
    </w:pPr>
    <w:rPr>
      <w:rFonts w:eastAsiaTheme="minorEastAsia"/>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pPr>
    <w:rPr>
      <w:rFonts w:eastAsiaTheme="minorEastAsia"/>
    </w:rPr>
  </w:style>
  <w:style w:type="paragraph" w:styleId="TOC5">
    <w:name w:val="toc 5"/>
    <w:basedOn w:val="Normal"/>
    <w:next w:val="Normal"/>
    <w:autoRedefine/>
    <w:uiPriority w:val="39"/>
    <w:unhideWhenUsed/>
    <w:rsid w:val="00323052"/>
    <w:pPr>
      <w:spacing w:after="100" w:line="276" w:lineRule="auto"/>
      <w:ind w:left="880"/>
    </w:pPr>
    <w:rPr>
      <w:rFonts w:eastAsiaTheme="minorEastAsia"/>
    </w:rPr>
  </w:style>
  <w:style w:type="paragraph" w:styleId="TOC6">
    <w:name w:val="toc 6"/>
    <w:basedOn w:val="Normal"/>
    <w:next w:val="Normal"/>
    <w:autoRedefine/>
    <w:uiPriority w:val="39"/>
    <w:unhideWhenUsed/>
    <w:rsid w:val="00323052"/>
    <w:pPr>
      <w:spacing w:after="100" w:line="276" w:lineRule="auto"/>
      <w:ind w:left="1100"/>
    </w:pPr>
    <w:rPr>
      <w:rFonts w:eastAsiaTheme="minorEastAsia"/>
    </w:rPr>
  </w:style>
  <w:style w:type="paragraph" w:styleId="TOC7">
    <w:name w:val="toc 7"/>
    <w:basedOn w:val="Normal"/>
    <w:next w:val="Normal"/>
    <w:autoRedefine/>
    <w:uiPriority w:val="39"/>
    <w:unhideWhenUsed/>
    <w:rsid w:val="00323052"/>
    <w:pPr>
      <w:spacing w:after="100" w:line="276" w:lineRule="auto"/>
      <w:ind w:left="1320"/>
    </w:pPr>
    <w:rPr>
      <w:rFonts w:eastAsiaTheme="minorEastAsia"/>
    </w:rPr>
  </w:style>
  <w:style w:type="paragraph" w:styleId="TOC8">
    <w:name w:val="toc 8"/>
    <w:basedOn w:val="Normal"/>
    <w:next w:val="Normal"/>
    <w:autoRedefine/>
    <w:uiPriority w:val="39"/>
    <w:unhideWhenUsed/>
    <w:rsid w:val="00323052"/>
    <w:pPr>
      <w:spacing w:after="100" w:line="276" w:lineRule="auto"/>
      <w:ind w:left="1540"/>
    </w:pPr>
    <w:rPr>
      <w:rFonts w:eastAsiaTheme="minorEastAsia"/>
    </w:rPr>
  </w:style>
  <w:style w:type="paragraph" w:styleId="TOC9">
    <w:name w:val="toc 9"/>
    <w:basedOn w:val="Normal"/>
    <w:next w:val="Normal"/>
    <w:autoRedefine/>
    <w:uiPriority w:val="39"/>
    <w:unhideWhenUsed/>
    <w:rsid w:val="00323052"/>
    <w:pPr>
      <w:spacing w:after="100" w:line="276" w:lineRule="auto"/>
      <w:ind w:left="1760"/>
    </w:pPr>
    <w:rPr>
      <w:rFonts w:eastAsiaTheme="minorEastAsia"/>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44711F"/>
    <w:pPr>
      <w:widowControl w:val="0"/>
      <w:numPr>
        <w:numId w:val="46"/>
      </w:numPr>
      <w:spacing w:after="0" w:line="240" w:lineRule="auto"/>
      <w:ind w:right="-432"/>
    </w:pPr>
  </w:style>
  <w:style w:type="paragraph" w:customStyle="1" w:styleId="Table">
    <w:name w:val="Table"/>
    <w:basedOn w:val="Normal"/>
    <w:qFormat/>
    <w:rsid w:val="00323052"/>
    <w:pPr>
      <w:tabs>
        <w:tab w:val="left" w:pos="1080"/>
      </w:tabs>
      <w:jc w:val="center"/>
    </w:pPr>
  </w:style>
  <w:style w:type="paragraph" w:customStyle="1" w:styleId="STSPtable">
    <w:name w:val="STSP table"/>
    <w:basedOn w:val="Normal"/>
    <w:autoRedefine/>
    <w:qFormat/>
    <w:rsid w:val="00FF63DD"/>
    <w:pPr>
      <w:jc w:val="center"/>
    </w:p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Revision">
    <w:name w:val="Revision"/>
    <w:hidden/>
    <w:uiPriority w:val="99"/>
    <w:semiHidden/>
    <w:rsid w:val="00FC3A30"/>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1E74"/>
    <w:rPr>
      <w:sz w:val="16"/>
      <w:szCs w:val="16"/>
    </w:rPr>
  </w:style>
  <w:style w:type="paragraph" w:styleId="CommentText">
    <w:name w:val="annotation text"/>
    <w:basedOn w:val="Normal"/>
    <w:link w:val="CommentTextChar"/>
    <w:uiPriority w:val="99"/>
    <w:unhideWhenUsed/>
    <w:rsid w:val="00541E74"/>
    <w:pPr>
      <w:spacing w:line="240" w:lineRule="auto"/>
    </w:pPr>
    <w:rPr>
      <w:sz w:val="20"/>
      <w:szCs w:val="20"/>
    </w:rPr>
  </w:style>
  <w:style w:type="character" w:customStyle="1" w:styleId="CommentTextChar">
    <w:name w:val="Comment Text Char"/>
    <w:basedOn w:val="DefaultParagraphFont"/>
    <w:link w:val="CommentText"/>
    <w:uiPriority w:val="99"/>
    <w:rsid w:val="00541E74"/>
    <w:rPr>
      <w:sz w:val="20"/>
      <w:szCs w:val="20"/>
    </w:rPr>
  </w:style>
  <w:style w:type="paragraph" w:customStyle="1" w:styleId="ssParagraph">
    <w:name w:val="ssParagraph"/>
    <w:basedOn w:val="Normal"/>
    <w:rsid w:val="00541E74"/>
    <w:pPr>
      <w:tabs>
        <w:tab w:val="right" w:pos="216"/>
        <w:tab w:val="left" w:pos="288"/>
      </w:tabs>
      <w:spacing w:before="60" w:after="60" w:line="240" w:lineRule="auto"/>
      <w:ind w:left="288" w:hanging="288"/>
    </w:pPr>
    <w:rPr>
      <w:rFonts w:ascii="Arial" w:eastAsia="Times New Roman" w:hAnsi="Arial" w:cs="Times New Roman"/>
      <w:sz w:val="20"/>
      <w:szCs w:val="20"/>
    </w:rPr>
  </w:style>
  <w:style w:type="character" w:customStyle="1" w:styleId="ssFutureLink">
    <w:name w:val="ssFutureLink"/>
    <w:basedOn w:val="DefaultParagraphFont"/>
    <w:rsid w:val="00541E74"/>
    <w:rPr>
      <w:color w:val="00B050"/>
      <w:u w:val="single"/>
    </w:rPr>
  </w:style>
  <w:style w:type="paragraph" w:customStyle="1" w:styleId="ssTableFooter">
    <w:name w:val="ssTableFooter"/>
    <w:basedOn w:val="Normal"/>
    <w:rsid w:val="00541E74"/>
    <w:pPr>
      <w:tabs>
        <w:tab w:val="right" w:pos="504"/>
        <w:tab w:val="left" w:pos="576"/>
      </w:tabs>
      <w:spacing w:before="60" w:after="60" w:line="240" w:lineRule="auto"/>
      <w:ind w:left="576" w:hanging="576"/>
    </w:pPr>
    <w:rPr>
      <w:rFonts w:ascii="Arial" w:eastAsia="Times New Roman" w:hAnsi="Arial" w:cs="Times New Roman"/>
      <w:sz w:val="18"/>
      <w:szCs w:val="20"/>
    </w:rPr>
  </w:style>
  <w:style w:type="paragraph" w:customStyle="1" w:styleId="ssTableTitle">
    <w:name w:val="ssTableTitle"/>
    <w:basedOn w:val="Normal"/>
    <w:rsid w:val="00541E74"/>
    <w:pPr>
      <w:keepNext/>
      <w:spacing w:before="120" w:after="0" w:line="240" w:lineRule="auto"/>
      <w:ind w:left="288"/>
      <w:jc w:val="center"/>
    </w:pPr>
    <w:rPr>
      <w:rFonts w:ascii="Arial" w:eastAsia="Times New Roman" w:hAnsi="Arial" w:cs="Times New Roman"/>
      <w:b/>
      <w:sz w:val="18"/>
      <w:szCs w:val="20"/>
    </w:rPr>
  </w:style>
  <w:style w:type="paragraph" w:customStyle="1" w:styleId="ssUndefined">
    <w:name w:val="ssUndefined"/>
    <w:basedOn w:val="Normal"/>
    <w:rsid w:val="00541E74"/>
    <w:pPr>
      <w:spacing w:before="60" w:after="60" w:line="240" w:lineRule="auto"/>
    </w:pPr>
    <w:rPr>
      <w:rFonts w:ascii="Arial" w:eastAsia="Times New Roman" w:hAnsi="Arial" w:cs="Times New Roman"/>
      <w:color w:val="663300"/>
      <w:sz w:val="20"/>
      <w:szCs w:val="20"/>
    </w:rPr>
  </w:style>
  <w:style w:type="character" w:customStyle="1" w:styleId="ssTableNumber">
    <w:name w:val="ssTableNumber"/>
    <w:basedOn w:val="DefaultParagraphFont"/>
    <w:rsid w:val="00541E74"/>
    <w:rPr>
      <w:color w:val="6600CC"/>
    </w:rPr>
  </w:style>
  <w:style w:type="paragraph" w:customStyle="1" w:styleId="ssTableBuffer">
    <w:name w:val="ssTableBuffer"/>
    <w:basedOn w:val="Normal"/>
    <w:uiPriority w:val="1"/>
    <w:rsid w:val="00541E74"/>
    <w:pPr>
      <w:keepNext/>
      <w:spacing w:after="0" w:line="240" w:lineRule="auto"/>
      <w:jc w:val="center"/>
    </w:pPr>
    <w:rPr>
      <w:rFonts w:ascii="Arial" w:eastAsia="Times New Roman" w:hAnsi="Arial" w:cs="Times New Roman"/>
      <w:sz w:val="2"/>
      <w:szCs w:val="20"/>
    </w:rPr>
  </w:style>
  <w:style w:type="paragraph" w:styleId="CommentSubject">
    <w:name w:val="annotation subject"/>
    <w:basedOn w:val="CommentText"/>
    <w:next w:val="CommentText"/>
    <w:link w:val="CommentSubjectChar"/>
    <w:uiPriority w:val="99"/>
    <w:semiHidden/>
    <w:unhideWhenUsed/>
    <w:rsid w:val="00162E00"/>
    <w:rPr>
      <w:b/>
      <w:bCs/>
    </w:rPr>
  </w:style>
  <w:style w:type="character" w:customStyle="1" w:styleId="CommentSubjectChar">
    <w:name w:val="Comment Subject Char"/>
    <w:basedOn w:val="CommentTextChar"/>
    <w:link w:val="CommentSubject"/>
    <w:uiPriority w:val="99"/>
    <w:semiHidden/>
    <w:rsid w:val="00162E00"/>
    <w:rPr>
      <w:b/>
      <w:bCs/>
      <w:sz w:val="20"/>
      <w:szCs w:val="20"/>
    </w:rPr>
  </w:style>
  <w:style w:type="character" w:styleId="UnresolvedMention">
    <w:name w:val="Unresolved Mention"/>
    <w:basedOn w:val="DefaultParagraphFont"/>
    <w:uiPriority w:val="99"/>
    <w:semiHidden/>
    <w:unhideWhenUsed/>
    <w:rsid w:val="002A34ED"/>
    <w:rPr>
      <w:color w:val="808080"/>
      <w:shd w:val="clear" w:color="auto" w:fill="E6E6E6"/>
    </w:rPr>
  </w:style>
  <w:style w:type="character" w:styleId="FollowedHyperlink">
    <w:name w:val="FollowedHyperlink"/>
    <w:basedOn w:val="DefaultParagraphFont"/>
    <w:uiPriority w:val="99"/>
    <w:semiHidden/>
    <w:unhideWhenUsed/>
    <w:rsid w:val="002A34ED"/>
    <w:rPr>
      <w:color w:val="800080" w:themeColor="followedHyperlink"/>
      <w:u w:val="single"/>
    </w:rPr>
  </w:style>
  <w:style w:type="paragraph" w:customStyle="1" w:styleId="wiTableTitle">
    <w:name w:val="wiTableTitle"/>
    <w:basedOn w:val="Normal"/>
    <w:next w:val="Normal"/>
    <w:rsid w:val="00CD09D2"/>
    <w:pPr>
      <w:keepNext/>
      <w:spacing w:before="120" w:after="0" w:line="240" w:lineRule="auto"/>
      <w:ind w:left="288"/>
      <w:jc w:val="center"/>
    </w:pPr>
    <w:rPr>
      <w:rFonts w:ascii="Arial" w:eastAsia="Times New Roman" w:hAnsi="Arial" w:cs="Times New Roman"/>
      <w:b/>
      <w:sz w:val="18"/>
      <w:szCs w:val="20"/>
    </w:rPr>
  </w:style>
  <w:style w:type="paragraph" w:customStyle="1" w:styleId="wiParagraph">
    <w:name w:val="wiParagraph"/>
    <w:basedOn w:val="Normal"/>
    <w:rsid w:val="004070D4"/>
    <w:pPr>
      <w:tabs>
        <w:tab w:val="right" w:pos="216"/>
        <w:tab w:val="left" w:pos="288"/>
      </w:tabs>
      <w:spacing w:before="60" w:after="60" w:line="240" w:lineRule="auto"/>
      <w:ind w:left="288" w:hanging="288"/>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15398695">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rdwy/stndspec/ss-04-5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292605-1C36-4E20-8B1D-E49435808F90}">
  <ds:schemaRefs>
    <ds:schemaRef ds:uri="http://schemas.microsoft.com/sharepoint/v3/contenttype/forms"/>
  </ds:schemaRefs>
</ds:datastoreItem>
</file>

<file path=customXml/itemProps2.xml><?xml version="1.0" encoding="utf-8"?>
<ds:datastoreItem xmlns:ds="http://schemas.openxmlformats.org/officeDocument/2006/customXml" ds:itemID="{35EC6C1F-A8BD-4641-8E7B-9618B447D24C}"/>
</file>

<file path=customXml/itemProps3.xml><?xml version="1.0" encoding="utf-8"?>
<ds:datastoreItem xmlns:ds="http://schemas.openxmlformats.org/officeDocument/2006/customXml" ds:itemID="{14089480-4B8E-4FBF-858E-6CB5BF715689}">
  <ds:schemaRefs>
    <ds:schemaRef ds:uri="http://schemas.openxmlformats.org/officeDocument/2006/bibliography"/>
  </ds:schemaRefs>
</ds:datastoreItem>
</file>

<file path=customXml/itemProps4.xml><?xml version="1.0" encoding="utf-8"?>
<ds:datastoreItem xmlns:ds="http://schemas.openxmlformats.org/officeDocument/2006/customXml" ds:itemID="{078D4793-FFB8-4517-9B42-DA068BC391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hma-long-jt-density-spv-12-20-2018</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hma-long-jt-density-spv-12-20-2018</dc:title>
  <dc:subject>Template for building special provisions</dc:subject>
  <dc:creator>WisDOT</dc:creator>
  <cp:keywords>hma-long-jt-density-spv-12-20-2018</cp:keywords>
  <cp:lastModifiedBy>O'Donnell, Rielly P - DOT</cp:lastModifiedBy>
  <cp:revision>27</cp:revision>
  <cp:lastPrinted>2013-06-26T16:11:00Z</cp:lastPrinted>
  <dcterms:created xsi:type="dcterms:W3CDTF">2023-08-28T16:01:00Z</dcterms:created>
  <dcterms:modified xsi:type="dcterms:W3CDTF">2023-12-11T18:21:00Z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