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98C5" w14:textId="77777777" w:rsidR="005461DC" w:rsidRPr="00B1686C" w:rsidRDefault="002111DC" w:rsidP="009F508A">
      <w:pPr>
        <w:suppressAutoHyphens/>
        <w:jc w:val="center"/>
        <w:rPr>
          <w:rFonts w:cs="Arial"/>
          <w:b/>
          <w:spacing w:val="-3"/>
        </w:rPr>
      </w:pPr>
      <w:r w:rsidRPr="00B1686C">
        <w:rPr>
          <w:rFonts w:cs="Arial"/>
          <w:b/>
          <w:spacing w:val="-3"/>
        </w:rPr>
        <w:t>SPECIAL PROVISIO</w:t>
      </w:r>
      <w:r w:rsidR="00D02FEE" w:rsidRPr="00B1686C">
        <w:rPr>
          <w:rFonts w:cs="Arial"/>
          <w:b/>
          <w:spacing w:val="-3"/>
        </w:rPr>
        <w:t>NS</w:t>
      </w:r>
      <w:r w:rsidR="001524F0" w:rsidRPr="00B1686C">
        <w:rPr>
          <w:rFonts w:cs="Arial"/>
          <w:b/>
          <w:spacing w:val="-3"/>
        </w:rPr>
        <w:t xml:space="preserve"> REAL ESTATE ACQUISITION</w:t>
      </w:r>
      <w:r w:rsidR="00C13B99" w:rsidRPr="00B1686C">
        <w:rPr>
          <w:rFonts w:cs="Arial"/>
          <w:b/>
          <w:spacing w:val="-3"/>
        </w:rPr>
        <w:t>/</w:t>
      </w:r>
      <w:r w:rsidR="001524F0" w:rsidRPr="00B1686C">
        <w:rPr>
          <w:rFonts w:cs="Arial"/>
          <w:b/>
          <w:spacing w:val="-3"/>
        </w:rPr>
        <w:t>NEGOTIATION SERVICES</w:t>
      </w:r>
    </w:p>
    <w:p w14:paraId="66C398C6" w14:textId="77777777" w:rsidR="00F3442A" w:rsidRPr="00B1686C" w:rsidRDefault="00F3442A" w:rsidP="009F508A">
      <w:pPr>
        <w:suppressAutoHyphens/>
        <w:jc w:val="center"/>
        <w:rPr>
          <w:rFonts w:cs="Arial"/>
          <w:spacing w:val="-3"/>
          <w:sz w:val="20"/>
          <w:szCs w:val="20"/>
        </w:rPr>
      </w:pPr>
      <w:r w:rsidRPr="00B1686C">
        <w:rPr>
          <w:rFonts w:cs="Arial"/>
          <w:spacing w:val="-3"/>
          <w:sz w:val="20"/>
          <w:szCs w:val="20"/>
        </w:rPr>
        <w:t>Wisconsin Department of Transportation</w:t>
      </w:r>
    </w:p>
    <w:p w14:paraId="66C398C7" w14:textId="77777777" w:rsidR="007A462D" w:rsidRPr="00B1686C" w:rsidRDefault="007A462D" w:rsidP="007A462D">
      <w:pPr>
        <w:tabs>
          <w:tab w:val="left" w:pos="2412"/>
        </w:tabs>
        <w:suppressAutoHyphens/>
        <w:jc w:val="center"/>
        <w:rPr>
          <w:rFonts w:cs="Arial"/>
          <w:spacing w:val="-3"/>
          <w:sz w:val="20"/>
          <w:szCs w:val="20"/>
        </w:rPr>
      </w:pPr>
      <w:r w:rsidRPr="00B1686C">
        <w:rPr>
          <w:rFonts w:cs="Arial"/>
          <w:spacing w:val="-3"/>
          <w:sz w:val="20"/>
          <w:szCs w:val="20"/>
        </w:rPr>
        <w:t>Revised 0</w:t>
      </w:r>
      <w:r w:rsidR="00D22E4A" w:rsidRPr="00B1686C">
        <w:rPr>
          <w:rFonts w:cs="Arial"/>
          <w:spacing w:val="-3"/>
          <w:sz w:val="20"/>
          <w:szCs w:val="20"/>
        </w:rPr>
        <w:t>8</w:t>
      </w:r>
      <w:r w:rsidRPr="00B1686C">
        <w:rPr>
          <w:rFonts w:cs="Arial"/>
          <w:spacing w:val="-3"/>
          <w:sz w:val="20"/>
          <w:szCs w:val="20"/>
        </w:rPr>
        <w:t>/</w:t>
      </w:r>
      <w:r w:rsidR="00B1686C">
        <w:rPr>
          <w:rFonts w:cs="Arial"/>
          <w:spacing w:val="-3"/>
          <w:sz w:val="20"/>
          <w:szCs w:val="20"/>
        </w:rPr>
        <w:t>18</w:t>
      </w:r>
      <w:r w:rsidRPr="00B1686C">
        <w:rPr>
          <w:rFonts w:cs="Arial"/>
          <w:spacing w:val="-3"/>
          <w:sz w:val="20"/>
          <w:szCs w:val="20"/>
        </w:rPr>
        <w:t>/15</w:t>
      </w:r>
    </w:p>
    <w:p w14:paraId="66C398C8" w14:textId="77777777" w:rsidR="005461DC" w:rsidRPr="00B1686C" w:rsidRDefault="005461DC" w:rsidP="00C13B99">
      <w:pPr>
        <w:tabs>
          <w:tab w:val="left" w:pos="2412"/>
        </w:tabs>
        <w:suppressAutoHyphens/>
        <w:rPr>
          <w:rFonts w:cs="Arial"/>
          <w:spacing w:val="-3"/>
          <w:sz w:val="20"/>
          <w:szCs w:val="20"/>
        </w:rPr>
      </w:pPr>
    </w:p>
    <w:p w14:paraId="66C398C9" w14:textId="77777777" w:rsidR="0031597D" w:rsidRPr="00B1686C" w:rsidRDefault="0031597D" w:rsidP="00002CA1">
      <w:pPr>
        <w:tabs>
          <w:tab w:val="left" w:pos="2412"/>
        </w:tabs>
        <w:suppressAutoHyphens/>
        <w:rPr>
          <w:rFonts w:cs="Arial"/>
          <w:spacing w:val="-3"/>
          <w:sz w:val="20"/>
          <w:szCs w:val="20"/>
        </w:rPr>
      </w:pPr>
    </w:p>
    <w:p w14:paraId="66C398CA" w14:textId="77777777" w:rsidR="0012012C" w:rsidRPr="00B1686C" w:rsidRDefault="0012012C" w:rsidP="00002CA1">
      <w:pPr>
        <w:tabs>
          <w:tab w:val="left" w:pos="2412"/>
        </w:tabs>
        <w:suppressAutoHyphens/>
        <w:rPr>
          <w:rFonts w:cs="Arial"/>
          <w:spacing w:val="-3"/>
          <w:sz w:val="20"/>
          <w:szCs w:val="20"/>
        </w:rPr>
      </w:pPr>
      <w:r w:rsidRPr="00B1686C">
        <w:rPr>
          <w:rFonts w:cs="Arial"/>
          <w:spacing w:val="-3"/>
          <w:sz w:val="20"/>
          <w:szCs w:val="20"/>
        </w:rPr>
        <w:t>SCOPE OF SERVICES</w:t>
      </w:r>
    </w:p>
    <w:p w14:paraId="66C398CB" w14:textId="77777777" w:rsidR="0012012C" w:rsidRPr="00B1686C" w:rsidRDefault="0012012C" w:rsidP="00002CA1">
      <w:pPr>
        <w:tabs>
          <w:tab w:val="left" w:pos="2412"/>
        </w:tabs>
        <w:suppressAutoHyphens/>
        <w:rPr>
          <w:rFonts w:cs="Arial"/>
          <w:spacing w:val="-3"/>
          <w:sz w:val="20"/>
          <w:szCs w:val="20"/>
        </w:rPr>
      </w:pPr>
    </w:p>
    <w:p w14:paraId="66C398CC" w14:textId="77777777" w:rsidR="005461DC" w:rsidRPr="00B1686C" w:rsidRDefault="006D48E2" w:rsidP="00224A9D">
      <w:pPr>
        <w:tabs>
          <w:tab w:val="left" w:pos="360"/>
        </w:tabs>
        <w:suppressAutoHyphens/>
        <w:rPr>
          <w:rFonts w:cs="Arial"/>
          <w:spacing w:val="-3"/>
          <w:sz w:val="20"/>
          <w:szCs w:val="20"/>
        </w:rPr>
      </w:pPr>
      <w:r w:rsidRPr="00B1686C">
        <w:rPr>
          <w:rFonts w:cs="Arial"/>
          <w:spacing w:val="-3"/>
          <w:sz w:val="20"/>
          <w:szCs w:val="20"/>
        </w:rPr>
        <w:t>A.</w:t>
      </w:r>
      <w:r w:rsidRPr="00B1686C">
        <w:rPr>
          <w:rFonts w:cs="Arial"/>
          <w:spacing w:val="-3"/>
          <w:sz w:val="20"/>
          <w:szCs w:val="20"/>
        </w:rPr>
        <w:tab/>
      </w:r>
      <w:r w:rsidR="002111DC" w:rsidRPr="00B1686C">
        <w:rPr>
          <w:rFonts w:cs="Arial"/>
          <w:spacing w:val="-3"/>
          <w:sz w:val="20"/>
          <w:szCs w:val="20"/>
        </w:rPr>
        <w:t>Acquisition/</w:t>
      </w:r>
      <w:r w:rsidR="004463B6" w:rsidRPr="00B1686C">
        <w:rPr>
          <w:rFonts w:cs="Arial"/>
          <w:spacing w:val="-3"/>
          <w:sz w:val="20"/>
          <w:szCs w:val="20"/>
        </w:rPr>
        <w:t>n</w:t>
      </w:r>
      <w:r w:rsidR="002111DC" w:rsidRPr="00B1686C">
        <w:rPr>
          <w:rFonts w:cs="Arial"/>
          <w:spacing w:val="-3"/>
          <w:sz w:val="20"/>
          <w:szCs w:val="20"/>
        </w:rPr>
        <w:t xml:space="preserve">egotiation </w:t>
      </w:r>
      <w:r w:rsidR="004463B6" w:rsidRPr="00B1686C">
        <w:rPr>
          <w:rFonts w:cs="Arial"/>
          <w:spacing w:val="-3"/>
          <w:sz w:val="20"/>
          <w:szCs w:val="20"/>
        </w:rPr>
        <w:t>s</w:t>
      </w:r>
      <w:r w:rsidR="002111DC" w:rsidRPr="00B1686C">
        <w:rPr>
          <w:rFonts w:cs="Arial"/>
          <w:spacing w:val="-3"/>
          <w:sz w:val="20"/>
          <w:szCs w:val="20"/>
        </w:rPr>
        <w:t>ervices</w:t>
      </w:r>
    </w:p>
    <w:p w14:paraId="66C398CD" w14:textId="77777777" w:rsidR="005461DC" w:rsidRPr="00B1686C" w:rsidRDefault="005461DC" w:rsidP="00224A9D">
      <w:pPr>
        <w:pStyle w:val="BodyTextIndent2"/>
        <w:tabs>
          <w:tab w:val="clear" w:pos="-720"/>
          <w:tab w:val="clear" w:pos="0"/>
        </w:tabs>
        <w:ind w:left="360" w:firstLine="0"/>
        <w:rPr>
          <w:rFonts w:cs="Arial"/>
          <w:sz w:val="20"/>
          <w:szCs w:val="20"/>
        </w:rPr>
      </w:pPr>
    </w:p>
    <w:p w14:paraId="66C398CE" w14:textId="77777777" w:rsidR="005461DC" w:rsidRPr="00B1686C" w:rsidRDefault="006D48E2" w:rsidP="00224A9D">
      <w:pPr>
        <w:numPr>
          <w:ilvl w:val="0"/>
          <w:numId w:val="7"/>
        </w:numPr>
        <w:tabs>
          <w:tab w:val="left" w:pos="-720"/>
        </w:tabs>
        <w:suppressAutoHyphens/>
        <w:ind w:left="360" w:firstLine="0"/>
        <w:rPr>
          <w:rFonts w:cs="Arial"/>
          <w:spacing w:val="-3"/>
          <w:sz w:val="20"/>
          <w:szCs w:val="20"/>
        </w:rPr>
      </w:pPr>
      <w:r w:rsidRPr="00B1686C">
        <w:rPr>
          <w:rFonts w:cs="Arial"/>
          <w:spacing w:val="-3"/>
          <w:sz w:val="20"/>
          <w:szCs w:val="20"/>
        </w:rPr>
        <w:t>A</w:t>
      </w:r>
      <w:r w:rsidR="00D02FEE" w:rsidRPr="00B1686C">
        <w:rPr>
          <w:rFonts w:cs="Arial"/>
          <w:spacing w:val="-3"/>
          <w:sz w:val="20"/>
          <w:szCs w:val="20"/>
        </w:rPr>
        <w:t xml:space="preserve">cquisition/negotiation </w:t>
      </w:r>
      <w:r w:rsidR="004463B6" w:rsidRPr="00B1686C">
        <w:rPr>
          <w:rFonts w:cs="Arial"/>
          <w:spacing w:val="-3"/>
          <w:sz w:val="20"/>
          <w:szCs w:val="20"/>
        </w:rPr>
        <w:t>activities</w:t>
      </w:r>
      <w:r w:rsidR="00D22E4A" w:rsidRPr="00B1686C">
        <w:rPr>
          <w:rFonts w:cs="Arial"/>
          <w:spacing w:val="-3"/>
          <w:sz w:val="20"/>
          <w:szCs w:val="20"/>
        </w:rPr>
        <w:t>:</w:t>
      </w:r>
    </w:p>
    <w:p w14:paraId="66C398CF" w14:textId="77777777" w:rsidR="00D02FEE" w:rsidRPr="00B1686C" w:rsidRDefault="00D02FEE" w:rsidP="00476FE6">
      <w:pPr>
        <w:tabs>
          <w:tab w:val="left" w:pos="360"/>
        </w:tabs>
        <w:suppressAutoHyphens/>
        <w:ind w:left="360"/>
        <w:rPr>
          <w:rFonts w:cs="Arial"/>
          <w:sz w:val="20"/>
          <w:szCs w:val="20"/>
        </w:rPr>
      </w:pPr>
    </w:p>
    <w:p w14:paraId="66C398D0" w14:textId="77777777" w:rsidR="00D02FEE" w:rsidRPr="00B1686C" w:rsidRDefault="00D02FEE" w:rsidP="00476FE6">
      <w:pPr>
        <w:tabs>
          <w:tab w:val="left" w:pos="360"/>
        </w:tabs>
        <w:suppressAutoHyphens/>
        <w:ind w:left="360"/>
        <w:rPr>
          <w:rFonts w:cs="Arial"/>
          <w:sz w:val="20"/>
          <w:szCs w:val="20"/>
        </w:rPr>
      </w:pPr>
      <w:r w:rsidRPr="00B1686C">
        <w:rPr>
          <w:rFonts w:cs="Arial"/>
          <w:sz w:val="20"/>
          <w:szCs w:val="20"/>
        </w:rPr>
        <w:t>CONSULTANT shall supply individual parcel folders</w:t>
      </w:r>
      <w:r w:rsidR="000B13A6" w:rsidRPr="00B1686C">
        <w:rPr>
          <w:rFonts w:cs="Arial"/>
          <w:sz w:val="20"/>
          <w:szCs w:val="20"/>
        </w:rPr>
        <w:t xml:space="preserve"> to DEPARTMENT </w:t>
      </w:r>
      <w:r w:rsidRPr="00B1686C">
        <w:rPr>
          <w:rFonts w:cs="Arial"/>
          <w:sz w:val="20"/>
          <w:szCs w:val="20"/>
        </w:rPr>
        <w:t xml:space="preserve">at the time of parcel closing (but no later than 60 days after closing), with all appropriate and applicable files/docs included </w:t>
      </w:r>
      <w:proofErr w:type="gramStart"/>
      <w:r w:rsidRPr="00B1686C">
        <w:rPr>
          <w:rFonts w:cs="Arial"/>
          <w:sz w:val="20"/>
          <w:szCs w:val="20"/>
        </w:rPr>
        <w:t>and in the order</w:t>
      </w:r>
      <w:proofErr w:type="gramEnd"/>
      <w:r w:rsidRPr="00B1686C">
        <w:rPr>
          <w:rFonts w:cs="Arial"/>
          <w:sz w:val="20"/>
          <w:szCs w:val="20"/>
        </w:rPr>
        <w:t xml:space="preserve"> described here:</w:t>
      </w:r>
    </w:p>
    <w:p w14:paraId="66C398D1" w14:textId="77777777" w:rsidR="00D02FEE" w:rsidRPr="00B1686C" w:rsidRDefault="00D02FEE" w:rsidP="00476FE6">
      <w:pPr>
        <w:tabs>
          <w:tab w:val="left" w:pos="360"/>
        </w:tabs>
        <w:suppressAutoHyphens/>
        <w:ind w:left="360"/>
        <w:rPr>
          <w:rFonts w:cs="Arial"/>
          <w:sz w:val="20"/>
          <w:szCs w:val="20"/>
        </w:rPr>
      </w:pPr>
    </w:p>
    <w:tbl>
      <w:tblPr>
        <w:tblW w:w="0" w:type="auto"/>
        <w:jc w:val="center"/>
        <w:tblLayout w:type="fixed"/>
        <w:tblCellMar>
          <w:top w:w="72" w:type="dxa"/>
          <w:left w:w="72" w:type="dxa"/>
          <w:bottom w:w="72" w:type="dxa"/>
          <w:right w:w="72" w:type="dxa"/>
        </w:tblCellMar>
        <w:tblLook w:val="04A0" w:firstRow="1" w:lastRow="0" w:firstColumn="1" w:lastColumn="0" w:noHBand="0" w:noVBand="1"/>
      </w:tblPr>
      <w:tblGrid>
        <w:gridCol w:w="4691"/>
        <w:gridCol w:w="4659"/>
      </w:tblGrid>
      <w:tr w:rsidR="00D02FEE" w:rsidRPr="00B1686C" w14:paraId="66C398E9" w14:textId="77777777" w:rsidTr="00DD5C3C">
        <w:trPr>
          <w:trHeight w:val="2614"/>
          <w:jc w:val="center"/>
        </w:trPr>
        <w:tc>
          <w:tcPr>
            <w:tcW w:w="4691" w:type="dxa"/>
          </w:tcPr>
          <w:p w14:paraId="66C398D2" w14:textId="77777777" w:rsidR="00D02FEE" w:rsidRPr="00B1686C" w:rsidRDefault="00D02FEE" w:rsidP="00DD5C3C">
            <w:pPr>
              <w:tabs>
                <w:tab w:val="left" w:pos="360"/>
                <w:tab w:val="left" w:pos="4680"/>
                <w:tab w:val="left" w:pos="5040"/>
              </w:tabs>
              <w:suppressAutoHyphens/>
              <w:jc w:val="both"/>
              <w:rPr>
                <w:rFonts w:cs="Arial"/>
                <w:sz w:val="20"/>
                <w:szCs w:val="20"/>
              </w:rPr>
            </w:pPr>
            <w:r w:rsidRPr="00B1686C">
              <w:rPr>
                <w:rFonts w:cs="Arial"/>
                <w:sz w:val="20"/>
                <w:szCs w:val="20"/>
              </w:rPr>
              <w:t>1)</w:t>
            </w:r>
            <w:r w:rsidRPr="00B1686C">
              <w:rPr>
                <w:rFonts w:cs="Arial"/>
                <w:sz w:val="20"/>
                <w:szCs w:val="20"/>
              </w:rPr>
              <w:tab/>
              <w:t>Negotiation Diary</w:t>
            </w:r>
          </w:p>
          <w:p w14:paraId="66C398D3" w14:textId="77777777" w:rsidR="00D02FEE" w:rsidRPr="00B1686C" w:rsidRDefault="00D02FEE" w:rsidP="00DD5C3C">
            <w:pPr>
              <w:tabs>
                <w:tab w:val="left" w:pos="360"/>
                <w:tab w:val="left" w:pos="4680"/>
                <w:tab w:val="left" w:pos="5040"/>
              </w:tabs>
              <w:suppressAutoHyphens/>
              <w:jc w:val="both"/>
              <w:rPr>
                <w:rFonts w:cs="Arial"/>
                <w:sz w:val="20"/>
                <w:szCs w:val="20"/>
              </w:rPr>
            </w:pPr>
            <w:r w:rsidRPr="00B1686C">
              <w:rPr>
                <w:rFonts w:cs="Arial"/>
                <w:sz w:val="20"/>
                <w:szCs w:val="20"/>
              </w:rPr>
              <w:t>2)</w:t>
            </w:r>
            <w:r w:rsidRPr="00B1686C">
              <w:rPr>
                <w:rFonts w:cs="Arial"/>
                <w:sz w:val="20"/>
                <w:szCs w:val="20"/>
              </w:rPr>
              <w:tab/>
              <w:t>Owner Information Sheet</w:t>
            </w:r>
          </w:p>
          <w:p w14:paraId="66C398D4" w14:textId="77777777" w:rsidR="00D02FEE" w:rsidRPr="00B1686C" w:rsidRDefault="00D02FEE" w:rsidP="00DD5C3C">
            <w:pPr>
              <w:tabs>
                <w:tab w:val="left" w:pos="360"/>
                <w:tab w:val="left" w:pos="4680"/>
                <w:tab w:val="left" w:pos="5040"/>
              </w:tabs>
              <w:suppressAutoHyphens/>
              <w:jc w:val="both"/>
              <w:rPr>
                <w:rFonts w:cs="Arial"/>
                <w:sz w:val="20"/>
                <w:szCs w:val="20"/>
              </w:rPr>
            </w:pPr>
            <w:r w:rsidRPr="00B1686C">
              <w:rPr>
                <w:rFonts w:cs="Arial"/>
                <w:sz w:val="20"/>
                <w:szCs w:val="20"/>
              </w:rPr>
              <w:t>3)</w:t>
            </w:r>
            <w:r w:rsidRPr="00B1686C">
              <w:rPr>
                <w:rFonts w:cs="Arial"/>
                <w:sz w:val="20"/>
                <w:szCs w:val="20"/>
              </w:rPr>
              <w:tab/>
              <w:t>Copies of all recorded conveyances</w:t>
            </w:r>
          </w:p>
          <w:p w14:paraId="66C398D5" w14:textId="77777777" w:rsidR="00D02FEE" w:rsidRPr="00B1686C" w:rsidRDefault="00D02FEE" w:rsidP="00DD5C3C">
            <w:pPr>
              <w:tabs>
                <w:tab w:val="left" w:pos="360"/>
                <w:tab w:val="left" w:pos="4680"/>
                <w:tab w:val="left" w:pos="5040"/>
              </w:tabs>
              <w:suppressAutoHyphens/>
              <w:jc w:val="both"/>
              <w:rPr>
                <w:rFonts w:cs="Arial"/>
                <w:sz w:val="20"/>
                <w:szCs w:val="20"/>
              </w:rPr>
            </w:pPr>
            <w:r w:rsidRPr="00B1686C">
              <w:rPr>
                <w:rFonts w:cs="Arial"/>
                <w:sz w:val="20"/>
                <w:szCs w:val="20"/>
              </w:rPr>
              <w:t>4)</w:t>
            </w:r>
            <w:r w:rsidRPr="00B1686C">
              <w:rPr>
                <w:rFonts w:cs="Arial"/>
                <w:sz w:val="20"/>
                <w:szCs w:val="20"/>
              </w:rPr>
              <w:tab/>
              <w:t>Original recorded Partial Release of Mortgage</w:t>
            </w:r>
            <w:r w:rsidRPr="00B1686C">
              <w:rPr>
                <w:rFonts w:cs="Arial"/>
                <w:sz w:val="20"/>
                <w:szCs w:val="20"/>
              </w:rPr>
              <w:br/>
            </w:r>
            <w:r w:rsidRPr="00B1686C">
              <w:rPr>
                <w:rFonts w:cs="Arial"/>
                <w:sz w:val="20"/>
                <w:szCs w:val="20"/>
              </w:rPr>
              <w:tab/>
              <w:t>or waiver</w:t>
            </w:r>
          </w:p>
          <w:p w14:paraId="66C398D6" w14:textId="77777777" w:rsidR="00D02FEE" w:rsidRPr="00B1686C" w:rsidRDefault="00D02FEE" w:rsidP="00DD5C3C">
            <w:pPr>
              <w:tabs>
                <w:tab w:val="left" w:pos="360"/>
                <w:tab w:val="left" w:pos="4680"/>
                <w:tab w:val="left" w:pos="5040"/>
              </w:tabs>
              <w:suppressAutoHyphens/>
              <w:jc w:val="both"/>
              <w:rPr>
                <w:rFonts w:cs="Arial"/>
                <w:sz w:val="20"/>
                <w:szCs w:val="20"/>
              </w:rPr>
            </w:pPr>
            <w:r w:rsidRPr="00B1686C">
              <w:rPr>
                <w:rFonts w:cs="Arial"/>
                <w:sz w:val="20"/>
                <w:szCs w:val="20"/>
              </w:rPr>
              <w:t>5)</w:t>
            </w:r>
            <w:r w:rsidRPr="00B1686C">
              <w:rPr>
                <w:rFonts w:cs="Arial"/>
                <w:sz w:val="20"/>
                <w:szCs w:val="20"/>
              </w:rPr>
              <w:tab/>
              <w:t>Statement to Construction Engineer</w:t>
            </w:r>
          </w:p>
          <w:p w14:paraId="66C398D7" w14:textId="77777777" w:rsidR="00D02FEE" w:rsidRPr="00B1686C" w:rsidRDefault="00D02FEE" w:rsidP="00DD5C3C">
            <w:pPr>
              <w:tabs>
                <w:tab w:val="left" w:pos="360"/>
                <w:tab w:val="left" w:pos="4680"/>
                <w:tab w:val="left" w:pos="5040"/>
              </w:tabs>
              <w:suppressAutoHyphens/>
              <w:jc w:val="both"/>
              <w:rPr>
                <w:rFonts w:cs="Arial"/>
                <w:sz w:val="20"/>
                <w:szCs w:val="20"/>
              </w:rPr>
            </w:pPr>
            <w:r w:rsidRPr="00B1686C">
              <w:rPr>
                <w:rFonts w:cs="Arial"/>
                <w:sz w:val="20"/>
                <w:szCs w:val="20"/>
              </w:rPr>
              <w:t>6)</w:t>
            </w:r>
            <w:r w:rsidRPr="00B1686C">
              <w:rPr>
                <w:rFonts w:cs="Arial"/>
                <w:sz w:val="20"/>
                <w:szCs w:val="20"/>
              </w:rPr>
              <w:tab/>
              <w:t>Recorded Jurisdictional Offer</w:t>
            </w:r>
          </w:p>
          <w:p w14:paraId="66C398D8" w14:textId="77777777" w:rsidR="00D02FEE" w:rsidRPr="00B1686C" w:rsidRDefault="00D02FEE" w:rsidP="00DD5C3C">
            <w:pPr>
              <w:tabs>
                <w:tab w:val="left" w:pos="360"/>
                <w:tab w:val="left" w:pos="4680"/>
                <w:tab w:val="left" w:pos="5040"/>
              </w:tabs>
              <w:suppressAutoHyphens/>
              <w:jc w:val="both"/>
              <w:rPr>
                <w:rFonts w:cs="Arial"/>
                <w:sz w:val="20"/>
                <w:szCs w:val="20"/>
              </w:rPr>
            </w:pPr>
            <w:r w:rsidRPr="00B1686C">
              <w:rPr>
                <w:rFonts w:cs="Arial"/>
                <w:sz w:val="20"/>
                <w:szCs w:val="20"/>
              </w:rPr>
              <w:t>7)</w:t>
            </w:r>
            <w:r w:rsidRPr="00B1686C">
              <w:rPr>
                <w:rFonts w:cs="Arial"/>
                <w:sz w:val="20"/>
                <w:szCs w:val="20"/>
              </w:rPr>
              <w:tab/>
              <w:t>Payment Request</w:t>
            </w:r>
          </w:p>
          <w:p w14:paraId="66C398D9" w14:textId="77777777" w:rsidR="00D02FEE" w:rsidRPr="00B1686C" w:rsidRDefault="00D02FEE" w:rsidP="00DD5C3C">
            <w:pPr>
              <w:tabs>
                <w:tab w:val="left" w:pos="360"/>
                <w:tab w:val="left" w:pos="4680"/>
                <w:tab w:val="left" w:pos="5040"/>
              </w:tabs>
              <w:suppressAutoHyphens/>
              <w:jc w:val="both"/>
              <w:rPr>
                <w:rFonts w:cs="Arial"/>
                <w:sz w:val="20"/>
                <w:szCs w:val="20"/>
              </w:rPr>
            </w:pPr>
            <w:r w:rsidRPr="00B1686C">
              <w:rPr>
                <w:rFonts w:cs="Arial"/>
                <w:sz w:val="20"/>
                <w:szCs w:val="20"/>
              </w:rPr>
              <w:t>8)</w:t>
            </w:r>
            <w:r w:rsidRPr="00B1686C">
              <w:rPr>
                <w:rFonts w:cs="Arial"/>
                <w:sz w:val="20"/>
                <w:szCs w:val="20"/>
              </w:rPr>
              <w:tab/>
              <w:t>Purchase Agreement</w:t>
            </w:r>
          </w:p>
          <w:p w14:paraId="66C398DA" w14:textId="77777777" w:rsidR="00D02FEE" w:rsidRPr="00B1686C" w:rsidRDefault="00D02FEE" w:rsidP="00DD5C3C">
            <w:pPr>
              <w:tabs>
                <w:tab w:val="left" w:pos="360"/>
                <w:tab w:val="left" w:pos="5040"/>
              </w:tabs>
              <w:suppressAutoHyphens/>
              <w:jc w:val="both"/>
              <w:rPr>
                <w:rFonts w:cs="Arial"/>
                <w:sz w:val="20"/>
                <w:szCs w:val="20"/>
              </w:rPr>
            </w:pPr>
            <w:r w:rsidRPr="00B1686C">
              <w:rPr>
                <w:rFonts w:cs="Arial"/>
                <w:sz w:val="20"/>
                <w:szCs w:val="20"/>
              </w:rPr>
              <w:t>9)</w:t>
            </w:r>
            <w:r w:rsidRPr="00B1686C">
              <w:rPr>
                <w:rFonts w:cs="Arial"/>
                <w:sz w:val="20"/>
                <w:szCs w:val="20"/>
              </w:rPr>
              <w:tab/>
              <w:t>Administrative Revision</w:t>
            </w:r>
          </w:p>
          <w:p w14:paraId="66C398DB" w14:textId="77777777" w:rsidR="00D02FEE" w:rsidRPr="00B1686C" w:rsidRDefault="00D02FEE" w:rsidP="00DD5C3C">
            <w:pPr>
              <w:tabs>
                <w:tab w:val="left" w:pos="360"/>
                <w:tab w:val="left" w:pos="4680"/>
                <w:tab w:val="left" w:pos="5040"/>
              </w:tabs>
              <w:suppressAutoHyphens/>
              <w:jc w:val="both"/>
              <w:rPr>
                <w:rFonts w:cs="Arial"/>
                <w:sz w:val="20"/>
                <w:szCs w:val="20"/>
              </w:rPr>
            </w:pPr>
            <w:r w:rsidRPr="00B1686C">
              <w:rPr>
                <w:rFonts w:cs="Arial"/>
                <w:sz w:val="20"/>
                <w:szCs w:val="20"/>
              </w:rPr>
              <w:t>10)</w:t>
            </w:r>
            <w:r w:rsidRPr="00B1686C">
              <w:rPr>
                <w:rFonts w:cs="Arial"/>
                <w:sz w:val="20"/>
                <w:szCs w:val="20"/>
              </w:rPr>
              <w:tab/>
              <w:t>Closing Statement</w:t>
            </w:r>
          </w:p>
          <w:p w14:paraId="66C398DC" w14:textId="77777777" w:rsidR="00D02FEE" w:rsidRPr="00B1686C" w:rsidRDefault="00D02FEE" w:rsidP="00DD5C3C">
            <w:pPr>
              <w:tabs>
                <w:tab w:val="left" w:pos="360"/>
                <w:tab w:val="left" w:pos="4680"/>
                <w:tab w:val="left" w:pos="5040"/>
              </w:tabs>
              <w:suppressAutoHyphens/>
              <w:jc w:val="both"/>
              <w:rPr>
                <w:rFonts w:cs="Arial"/>
                <w:sz w:val="20"/>
                <w:szCs w:val="20"/>
              </w:rPr>
            </w:pPr>
            <w:r w:rsidRPr="00B1686C">
              <w:rPr>
                <w:rFonts w:cs="Arial"/>
                <w:sz w:val="20"/>
                <w:szCs w:val="20"/>
              </w:rPr>
              <w:t>11) Disposition of RE tax, pro-rated</w:t>
            </w:r>
          </w:p>
          <w:p w14:paraId="66C398DD" w14:textId="77777777" w:rsidR="00D02FEE" w:rsidRPr="00B1686C" w:rsidRDefault="00D02FEE" w:rsidP="00DD5C3C">
            <w:pPr>
              <w:tabs>
                <w:tab w:val="left" w:pos="360"/>
                <w:tab w:val="left" w:pos="4680"/>
                <w:tab w:val="left" w:pos="5040"/>
              </w:tabs>
              <w:suppressAutoHyphens/>
              <w:jc w:val="both"/>
              <w:rPr>
                <w:rFonts w:cs="Arial"/>
                <w:sz w:val="20"/>
                <w:szCs w:val="20"/>
              </w:rPr>
            </w:pPr>
            <w:r w:rsidRPr="00B1686C">
              <w:rPr>
                <w:rFonts w:cs="Arial"/>
                <w:sz w:val="20"/>
                <w:szCs w:val="20"/>
              </w:rPr>
              <w:t>12) Nominal Payment – Waiver of Appraisal</w:t>
            </w:r>
          </w:p>
        </w:tc>
        <w:tc>
          <w:tcPr>
            <w:tcW w:w="4659" w:type="dxa"/>
          </w:tcPr>
          <w:p w14:paraId="66C398DE" w14:textId="77777777" w:rsidR="00D02FEE" w:rsidRPr="00B1686C" w:rsidRDefault="00D02FEE" w:rsidP="00DD5C3C">
            <w:pPr>
              <w:suppressAutoHyphens/>
              <w:ind w:left="319"/>
              <w:jc w:val="both"/>
              <w:rPr>
                <w:rFonts w:cs="Arial"/>
                <w:sz w:val="20"/>
                <w:szCs w:val="20"/>
              </w:rPr>
            </w:pPr>
            <w:r w:rsidRPr="00B1686C">
              <w:rPr>
                <w:rFonts w:cs="Arial"/>
                <w:sz w:val="20"/>
                <w:szCs w:val="20"/>
              </w:rPr>
              <w:t>13) Nominal Parcel Payment Report</w:t>
            </w:r>
          </w:p>
          <w:p w14:paraId="66C398DF" w14:textId="77777777" w:rsidR="00D02FEE" w:rsidRPr="00B1686C" w:rsidRDefault="00D02FEE" w:rsidP="00DD5C3C">
            <w:pPr>
              <w:suppressAutoHyphens/>
              <w:ind w:left="319"/>
              <w:jc w:val="both"/>
              <w:rPr>
                <w:rFonts w:cs="Arial"/>
                <w:sz w:val="20"/>
                <w:szCs w:val="20"/>
              </w:rPr>
            </w:pPr>
            <w:r w:rsidRPr="00B1686C">
              <w:rPr>
                <w:rFonts w:cs="Arial"/>
                <w:sz w:val="20"/>
                <w:szCs w:val="20"/>
              </w:rPr>
              <w:t>15) Property inventory reports</w:t>
            </w:r>
          </w:p>
          <w:p w14:paraId="66C398E0" w14:textId="77777777" w:rsidR="00D02FEE" w:rsidRPr="00B1686C" w:rsidRDefault="00D02FEE" w:rsidP="00DD5C3C">
            <w:pPr>
              <w:suppressAutoHyphens/>
              <w:ind w:left="319"/>
              <w:jc w:val="both"/>
              <w:rPr>
                <w:rFonts w:cs="Arial"/>
                <w:sz w:val="20"/>
                <w:szCs w:val="20"/>
              </w:rPr>
            </w:pPr>
            <w:r w:rsidRPr="00B1686C">
              <w:rPr>
                <w:rFonts w:cs="Arial"/>
                <w:sz w:val="20"/>
                <w:szCs w:val="20"/>
              </w:rPr>
              <w:t>16) Most recent correspondence on top)</w:t>
            </w:r>
          </w:p>
          <w:p w14:paraId="66C398E1" w14:textId="77777777" w:rsidR="00D02FEE" w:rsidRPr="00B1686C" w:rsidRDefault="00D02FEE" w:rsidP="00DD5C3C">
            <w:pPr>
              <w:suppressAutoHyphens/>
              <w:ind w:left="319"/>
              <w:jc w:val="both"/>
              <w:rPr>
                <w:rFonts w:cs="Arial"/>
                <w:sz w:val="20"/>
                <w:szCs w:val="20"/>
              </w:rPr>
            </w:pPr>
            <w:r w:rsidRPr="00B1686C">
              <w:rPr>
                <w:rFonts w:cs="Arial"/>
                <w:sz w:val="20"/>
                <w:szCs w:val="20"/>
              </w:rPr>
              <w:t>17) Approved Offering Price Report</w:t>
            </w:r>
          </w:p>
          <w:p w14:paraId="66C398E2" w14:textId="77777777" w:rsidR="00D02FEE" w:rsidRPr="00B1686C" w:rsidRDefault="00D02FEE" w:rsidP="00DD5C3C">
            <w:pPr>
              <w:suppressAutoHyphens/>
              <w:ind w:left="319"/>
              <w:jc w:val="both"/>
              <w:rPr>
                <w:rFonts w:cs="Arial"/>
                <w:sz w:val="20"/>
                <w:szCs w:val="20"/>
              </w:rPr>
            </w:pPr>
            <w:r w:rsidRPr="00B1686C">
              <w:rPr>
                <w:rFonts w:cs="Arial"/>
                <w:sz w:val="20"/>
                <w:szCs w:val="20"/>
              </w:rPr>
              <w:t>18) Appraisal Report</w:t>
            </w:r>
          </w:p>
          <w:p w14:paraId="66C398E3" w14:textId="77777777" w:rsidR="00D02FEE" w:rsidRPr="00B1686C" w:rsidRDefault="00D02FEE" w:rsidP="00DD5C3C">
            <w:pPr>
              <w:suppressAutoHyphens/>
              <w:ind w:left="319"/>
              <w:jc w:val="both"/>
              <w:rPr>
                <w:rFonts w:cs="Arial"/>
                <w:sz w:val="20"/>
                <w:szCs w:val="20"/>
              </w:rPr>
            </w:pPr>
            <w:r w:rsidRPr="00B1686C">
              <w:rPr>
                <w:rFonts w:cs="Arial"/>
                <w:sz w:val="20"/>
                <w:szCs w:val="20"/>
              </w:rPr>
              <w:t>19) Legal description</w:t>
            </w:r>
          </w:p>
          <w:p w14:paraId="66C398E4" w14:textId="77777777" w:rsidR="00D02FEE" w:rsidRPr="00B1686C" w:rsidRDefault="00D02FEE" w:rsidP="00DD5C3C">
            <w:pPr>
              <w:suppressAutoHyphens/>
              <w:ind w:left="319"/>
              <w:jc w:val="both"/>
              <w:rPr>
                <w:rFonts w:cs="Arial"/>
                <w:sz w:val="20"/>
                <w:szCs w:val="20"/>
              </w:rPr>
            </w:pPr>
            <w:r w:rsidRPr="00B1686C">
              <w:rPr>
                <w:rFonts w:cs="Arial"/>
                <w:sz w:val="20"/>
                <w:szCs w:val="20"/>
              </w:rPr>
              <w:t>20) Introduction letter</w:t>
            </w:r>
          </w:p>
          <w:p w14:paraId="66C398E5" w14:textId="77777777" w:rsidR="00D02FEE" w:rsidRPr="00B1686C" w:rsidRDefault="00D02FEE" w:rsidP="00DD5C3C">
            <w:pPr>
              <w:suppressAutoHyphens/>
              <w:ind w:left="319"/>
              <w:jc w:val="both"/>
              <w:rPr>
                <w:rFonts w:cs="Arial"/>
                <w:sz w:val="20"/>
                <w:szCs w:val="20"/>
              </w:rPr>
            </w:pPr>
            <w:r w:rsidRPr="00B1686C">
              <w:rPr>
                <w:rFonts w:cs="Arial"/>
                <w:sz w:val="20"/>
                <w:szCs w:val="20"/>
              </w:rPr>
              <w:t>21) Title work</w:t>
            </w:r>
          </w:p>
          <w:p w14:paraId="66C398E6" w14:textId="77777777" w:rsidR="00D02FEE" w:rsidRPr="00B1686C" w:rsidRDefault="00D02FEE" w:rsidP="00DD5C3C">
            <w:pPr>
              <w:suppressAutoHyphens/>
              <w:ind w:left="319"/>
              <w:jc w:val="both"/>
              <w:rPr>
                <w:rFonts w:cs="Arial"/>
                <w:sz w:val="20"/>
                <w:szCs w:val="20"/>
              </w:rPr>
            </w:pPr>
            <w:r w:rsidRPr="00B1686C">
              <w:rPr>
                <w:rFonts w:cs="Arial"/>
                <w:sz w:val="20"/>
                <w:szCs w:val="20"/>
              </w:rPr>
              <w:t>22) All other miscellaneous documents</w:t>
            </w:r>
          </w:p>
          <w:p w14:paraId="66C398E7" w14:textId="77777777" w:rsidR="00D02FEE" w:rsidRPr="00B1686C" w:rsidRDefault="00D02FEE" w:rsidP="00DD5C3C">
            <w:pPr>
              <w:suppressAutoHyphens/>
              <w:ind w:left="319"/>
              <w:rPr>
                <w:rFonts w:cs="Arial"/>
                <w:sz w:val="20"/>
                <w:szCs w:val="20"/>
              </w:rPr>
            </w:pPr>
          </w:p>
          <w:p w14:paraId="66C398E8" w14:textId="77777777" w:rsidR="00D02FEE" w:rsidRPr="00B1686C" w:rsidRDefault="00D02FEE" w:rsidP="00DD5C3C">
            <w:pPr>
              <w:suppressAutoHyphens/>
              <w:ind w:left="319"/>
              <w:rPr>
                <w:rFonts w:cs="Arial"/>
                <w:sz w:val="20"/>
                <w:szCs w:val="20"/>
              </w:rPr>
            </w:pPr>
            <w:r w:rsidRPr="00B1686C">
              <w:rPr>
                <w:rFonts w:cs="Arial"/>
                <w:sz w:val="20"/>
                <w:szCs w:val="20"/>
              </w:rPr>
              <w:t>Note: IRS forms and related personal information is confidential and should be handled appropriately.</w:t>
            </w:r>
          </w:p>
        </w:tc>
      </w:tr>
    </w:tbl>
    <w:p w14:paraId="66C398EA" w14:textId="77777777" w:rsidR="00D02FEE" w:rsidRPr="00B1686C" w:rsidRDefault="00D02FEE" w:rsidP="00476FE6">
      <w:pPr>
        <w:tabs>
          <w:tab w:val="left" w:pos="360"/>
        </w:tabs>
        <w:suppressAutoHyphens/>
        <w:ind w:left="360"/>
        <w:rPr>
          <w:rFonts w:cs="Arial"/>
          <w:sz w:val="20"/>
          <w:szCs w:val="20"/>
        </w:rPr>
      </w:pPr>
    </w:p>
    <w:p w14:paraId="66C398EB" w14:textId="77777777" w:rsidR="00D02FEE" w:rsidRPr="00B1686C" w:rsidRDefault="00D02FEE" w:rsidP="00476FE6">
      <w:pPr>
        <w:tabs>
          <w:tab w:val="left" w:pos="360"/>
        </w:tabs>
        <w:suppressAutoHyphens/>
        <w:ind w:left="360"/>
        <w:rPr>
          <w:rFonts w:cs="Arial"/>
          <w:sz w:val="20"/>
          <w:szCs w:val="20"/>
        </w:rPr>
      </w:pPr>
      <w:r w:rsidRPr="00B1686C">
        <w:rPr>
          <w:rFonts w:cs="Arial"/>
          <w:sz w:val="20"/>
          <w:szCs w:val="20"/>
        </w:rPr>
        <w:t xml:space="preserve">CONSULTANT shall send an introduction letter and the brochure to each parcel owner entitled, “Rights of Landowners Under Wisconsin Eminent Domain Law” (available </w:t>
      </w:r>
      <w:r w:rsidR="00752E54" w:rsidRPr="00B1686C">
        <w:rPr>
          <w:rFonts w:cs="Arial"/>
          <w:sz w:val="20"/>
          <w:szCs w:val="20"/>
        </w:rPr>
        <w:t xml:space="preserve">to download </w:t>
      </w:r>
      <w:r w:rsidR="00A509E8" w:rsidRPr="00B1686C">
        <w:rPr>
          <w:rFonts w:cs="Arial"/>
          <w:sz w:val="20"/>
          <w:szCs w:val="20"/>
        </w:rPr>
        <w:t>from</w:t>
      </w:r>
      <w:r w:rsidRPr="00B1686C">
        <w:rPr>
          <w:rFonts w:cs="Arial"/>
          <w:sz w:val="20"/>
          <w:szCs w:val="20"/>
        </w:rPr>
        <w:t xml:space="preserve"> web in </w:t>
      </w:r>
      <w:hyperlink r:id="rId11" w:history="1">
        <w:r w:rsidR="00476FE6" w:rsidRPr="00B1686C">
          <w:rPr>
            <w:rStyle w:val="Hyperlink"/>
            <w:rFonts w:cs="Arial"/>
            <w:sz w:val="20"/>
            <w:szCs w:val="20"/>
          </w:rPr>
          <w:t>English</w:t>
        </w:r>
      </w:hyperlink>
      <w:r w:rsidR="00476FE6" w:rsidRPr="00B1686C">
        <w:rPr>
          <w:rFonts w:cs="Arial"/>
          <w:sz w:val="20"/>
          <w:szCs w:val="20"/>
        </w:rPr>
        <w:t xml:space="preserve"> only</w:t>
      </w:r>
      <w:r w:rsidRPr="00B1686C">
        <w:rPr>
          <w:rFonts w:cs="Arial"/>
          <w:sz w:val="20"/>
          <w:szCs w:val="20"/>
        </w:rPr>
        <w:t>).</w:t>
      </w:r>
    </w:p>
    <w:p w14:paraId="66C398EC" w14:textId="77777777" w:rsidR="00D02FEE" w:rsidRPr="00B1686C" w:rsidRDefault="00D02FEE" w:rsidP="00476FE6">
      <w:pPr>
        <w:tabs>
          <w:tab w:val="left" w:pos="360"/>
        </w:tabs>
        <w:suppressAutoHyphens/>
        <w:ind w:left="360"/>
        <w:rPr>
          <w:rFonts w:cs="Arial"/>
          <w:sz w:val="20"/>
          <w:szCs w:val="20"/>
        </w:rPr>
      </w:pPr>
    </w:p>
    <w:p w14:paraId="66C398ED" w14:textId="77777777" w:rsidR="00D02FEE" w:rsidRPr="00B1686C" w:rsidRDefault="00D02FEE" w:rsidP="00476FE6">
      <w:pPr>
        <w:tabs>
          <w:tab w:val="left" w:pos="360"/>
        </w:tabs>
        <w:suppressAutoHyphens/>
        <w:ind w:left="360"/>
        <w:rPr>
          <w:rFonts w:cs="Arial"/>
          <w:sz w:val="20"/>
          <w:szCs w:val="20"/>
        </w:rPr>
      </w:pPr>
      <w:r w:rsidRPr="00B1686C">
        <w:rPr>
          <w:rFonts w:cs="Arial"/>
          <w:sz w:val="20"/>
          <w:szCs w:val="20"/>
        </w:rPr>
        <w:t xml:space="preserve">DEPARTMENT may meet with CONSULTANT prior to initiation of negotiations to review any material or process pertinent to acquisition process. </w:t>
      </w:r>
      <w:r w:rsidR="00C20332" w:rsidRPr="00B1686C">
        <w:rPr>
          <w:rFonts w:cs="Arial"/>
          <w:sz w:val="20"/>
          <w:szCs w:val="20"/>
        </w:rPr>
        <w:t xml:space="preserve">DEPARTMENT will </w:t>
      </w:r>
      <w:r w:rsidR="00D878DD" w:rsidRPr="00B1686C">
        <w:rPr>
          <w:rFonts w:cs="Arial"/>
          <w:sz w:val="20"/>
          <w:szCs w:val="20"/>
        </w:rPr>
        <w:t>make available</w:t>
      </w:r>
      <w:r w:rsidRPr="00B1686C">
        <w:rPr>
          <w:rFonts w:cs="Arial"/>
          <w:sz w:val="20"/>
          <w:szCs w:val="20"/>
        </w:rPr>
        <w:t xml:space="preserve"> the following as necessary:</w:t>
      </w:r>
    </w:p>
    <w:p w14:paraId="66C398EE" w14:textId="77777777" w:rsidR="00D02FEE" w:rsidRPr="00B1686C" w:rsidRDefault="00D02FEE" w:rsidP="00476FE6">
      <w:pPr>
        <w:tabs>
          <w:tab w:val="left" w:pos="360"/>
        </w:tabs>
        <w:suppressAutoHyphens/>
        <w:ind w:left="360"/>
        <w:rPr>
          <w:rFonts w:cs="Arial"/>
          <w:sz w:val="20"/>
          <w:szCs w:val="20"/>
        </w:rPr>
      </w:pPr>
    </w:p>
    <w:tbl>
      <w:tblPr>
        <w:tblW w:w="0" w:type="auto"/>
        <w:jc w:val="center"/>
        <w:tblCellMar>
          <w:top w:w="14" w:type="dxa"/>
          <w:left w:w="115" w:type="dxa"/>
          <w:bottom w:w="14" w:type="dxa"/>
          <w:right w:w="115" w:type="dxa"/>
        </w:tblCellMar>
        <w:tblLook w:val="04A0" w:firstRow="1" w:lastRow="0" w:firstColumn="1" w:lastColumn="0" w:noHBand="0" w:noVBand="1"/>
      </w:tblPr>
      <w:tblGrid>
        <w:gridCol w:w="4691"/>
        <w:gridCol w:w="4659"/>
      </w:tblGrid>
      <w:tr w:rsidR="00D02FEE" w:rsidRPr="00B1686C" w14:paraId="66C398F7" w14:textId="77777777" w:rsidTr="00DD5C3C">
        <w:trPr>
          <w:trHeight w:val="958"/>
          <w:jc w:val="center"/>
        </w:trPr>
        <w:tc>
          <w:tcPr>
            <w:tcW w:w="4691" w:type="dxa"/>
          </w:tcPr>
          <w:p w14:paraId="66C398EF" w14:textId="77777777" w:rsidR="00D02FEE" w:rsidRPr="00B1686C" w:rsidRDefault="00D02FEE" w:rsidP="00DD5C3C">
            <w:pPr>
              <w:suppressAutoHyphens/>
              <w:rPr>
                <w:rFonts w:cs="Arial"/>
                <w:sz w:val="20"/>
                <w:szCs w:val="20"/>
              </w:rPr>
            </w:pPr>
            <w:r w:rsidRPr="00B1686C">
              <w:rPr>
                <w:rFonts w:cs="Arial"/>
                <w:sz w:val="20"/>
                <w:szCs w:val="20"/>
              </w:rPr>
              <w:br w:type="page"/>
            </w:r>
            <w:r w:rsidRPr="00B1686C">
              <w:rPr>
                <w:rFonts w:cs="Arial"/>
                <w:sz w:val="20"/>
                <w:szCs w:val="20"/>
              </w:rPr>
              <w:br w:type="page"/>
            </w:r>
            <w:r w:rsidRPr="00B1686C">
              <w:rPr>
                <w:rFonts w:cs="Arial"/>
                <w:sz w:val="20"/>
                <w:szCs w:val="20"/>
              </w:rPr>
              <w:br w:type="page"/>
            </w:r>
            <w:r w:rsidRPr="00B1686C">
              <w:rPr>
                <w:rFonts w:cs="Arial"/>
                <w:sz w:val="20"/>
                <w:szCs w:val="20"/>
              </w:rPr>
              <w:br w:type="page"/>
              <w:t>Administrative Revision forms</w:t>
            </w:r>
          </w:p>
          <w:p w14:paraId="66C398F0" w14:textId="77777777" w:rsidR="00D02FEE" w:rsidRPr="00B1686C" w:rsidRDefault="00D02FEE" w:rsidP="00DD5C3C">
            <w:pPr>
              <w:suppressAutoHyphens/>
              <w:rPr>
                <w:rFonts w:cs="Arial"/>
                <w:sz w:val="20"/>
                <w:szCs w:val="20"/>
              </w:rPr>
            </w:pPr>
            <w:r w:rsidRPr="00B1686C">
              <w:rPr>
                <w:rFonts w:cs="Arial"/>
                <w:sz w:val="20"/>
                <w:szCs w:val="20"/>
              </w:rPr>
              <w:t xml:space="preserve">Construction plans, </w:t>
            </w:r>
            <w:proofErr w:type="gramStart"/>
            <w:r w:rsidRPr="00B1686C">
              <w:rPr>
                <w:rFonts w:cs="Arial"/>
                <w:sz w:val="20"/>
                <w:szCs w:val="20"/>
              </w:rPr>
              <w:t>profiles</w:t>
            </w:r>
            <w:proofErr w:type="gramEnd"/>
            <w:r w:rsidRPr="00B1686C">
              <w:rPr>
                <w:rFonts w:cs="Arial"/>
                <w:sz w:val="20"/>
                <w:szCs w:val="20"/>
              </w:rPr>
              <w:t xml:space="preserve"> and cross sections</w:t>
            </w:r>
          </w:p>
          <w:p w14:paraId="66C398F1" w14:textId="77777777" w:rsidR="00D02FEE" w:rsidRPr="00B1686C" w:rsidRDefault="00D02FEE" w:rsidP="00DD5C3C">
            <w:pPr>
              <w:suppressAutoHyphens/>
              <w:rPr>
                <w:rFonts w:cs="Arial"/>
                <w:sz w:val="20"/>
                <w:szCs w:val="20"/>
              </w:rPr>
            </w:pPr>
            <w:r w:rsidRPr="00B1686C">
              <w:rPr>
                <w:rFonts w:cs="Arial"/>
                <w:sz w:val="20"/>
                <w:szCs w:val="20"/>
              </w:rPr>
              <w:t>Design Study Report</w:t>
            </w:r>
          </w:p>
          <w:p w14:paraId="66C398F2" w14:textId="77777777" w:rsidR="00D02FEE" w:rsidRPr="00B1686C" w:rsidRDefault="00D02FEE" w:rsidP="00DD5C3C">
            <w:pPr>
              <w:suppressAutoHyphens/>
              <w:rPr>
                <w:rFonts w:cs="Arial"/>
                <w:sz w:val="20"/>
                <w:szCs w:val="20"/>
              </w:rPr>
            </w:pPr>
            <w:r w:rsidRPr="00B1686C">
              <w:rPr>
                <w:rFonts w:cs="Arial"/>
                <w:sz w:val="20"/>
                <w:szCs w:val="20"/>
              </w:rPr>
              <w:t>Purchase Agreement forms</w:t>
            </w:r>
          </w:p>
        </w:tc>
        <w:tc>
          <w:tcPr>
            <w:tcW w:w="4659" w:type="dxa"/>
          </w:tcPr>
          <w:p w14:paraId="66C398F3" w14:textId="77777777" w:rsidR="00D02FEE" w:rsidRPr="00B1686C" w:rsidRDefault="00D02FEE" w:rsidP="00DD5C3C">
            <w:pPr>
              <w:suppressAutoHyphens/>
              <w:ind w:left="319"/>
              <w:jc w:val="both"/>
              <w:rPr>
                <w:rFonts w:cs="Arial"/>
                <w:sz w:val="20"/>
                <w:szCs w:val="20"/>
              </w:rPr>
            </w:pPr>
            <w:r w:rsidRPr="00B1686C">
              <w:rPr>
                <w:rFonts w:cs="Arial"/>
                <w:sz w:val="20"/>
                <w:szCs w:val="20"/>
              </w:rPr>
              <w:t>Revised Offering Price forms</w:t>
            </w:r>
          </w:p>
          <w:p w14:paraId="66C398F4" w14:textId="77777777" w:rsidR="00D02FEE" w:rsidRPr="00B1686C" w:rsidRDefault="00D02FEE" w:rsidP="00DD5C3C">
            <w:pPr>
              <w:suppressAutoHyphens/>
              <w:ind w:left="319"/>
              <w:jc w:val="both"/>
              <w:rPr>
                <w:rFonts w:cs="Arial"/>
                <w:sz w:val="20"/>
                <w:szCs w:val="20"/>
              </w:rPr>
            </w:pPr>
            <w:r w:rsidRPr="00B1686C">
              <w:rPr>
                <w:rFonts w:cs="Arial"/>
                <w:sz w:val="20"/>
                <w:szCs w:val="20"/>
              </w:rPr>
              <w:t xml:space="preserve">Required tax forms (see </w:t>
            </w:r>
            <w:hyperlink r:id="rId12" w:history="1">
              <w:r w:rsidRPr="00B1686C">
                <w:rPr>
                  <w:rStyle w:val="Hyperlink"/>
                  <w:rFonts w:cs="Arial"/>
                  <w:sz w:val="20"/>
                  <w:szCs w:val="20"/>
                </w:rPr>
                <w:t>www.irs.gov</w:t>
              </w:r>
            </w:hyperlink>
            <w:r w:rsidRPr="00B1686C">
              <w:rPr>
                <w:rFonts w:cs="Arial"/>
                <w:sz w:val="20"/>
                <w:szCs w:val="20"/>
              </w:rPr>
              <w:t>)</w:t>
            </w:r>
          </w:p>
          <w:p w14:paraId="66C398F5" w14:textId="77777777" w:rsidR="00D02FEE" w:rsidRPr="00B1686C" w:rsidRDefault="00D02FEE" w:rsidP="00DD5C3C">
            <w:pPr>
              <w:suppressAutoHyphens/>
              <w:ind w:left="319"/>
              <w:jc w:val="both"/>
              <w:rPr>
                <w:rFonts w:cs="Arial"/>
                <w:sz w:val="20"/>
                <w:szCs w:val="20"/>
              </w:rPr>
            </w:pPr>
            <w:r w:rsidRPr="00B1686C">
              <w:rPr>
                <w:rFonts w:cs="Arial"/>
                <w:sz w:val="20"/>
                <w:szCs w:val="20"/>
              </w:rPr>
              <w:t>"</w:t>
            </w:r>
            <w:hyperlink r:id="rId13" w:history="1">
              <w:r w:rsidRPr="00B1686C">
                <w:rPr>
                  <w:rStyle w:val="Hyperlink"/>
                  <w:rFonts w:cs="Arial"/>
                  <w:sz w:val="20"/>
                  <w:szCs w:val="20"/>
                </w:rPr>
                <w:t>Rights of Landowners</w:t>
              </w:r>
            </w:hyperlink>
            <w:r w:rsidRPr="00B1686C">
              <w:rPr>
                <w:rFonts w:cs="Arial"/>
                <w:sz w:val="20"/>
                <w:szCs w:val="20"/>
              </w:rPr>
              <w:t>" brochure (web link)</w:t>
            </w:r>
          </w:p>
          <w:p w14:paraId="66C398F6" w14:textId="77777777" w:rsidR="00D02FEE" w:rsidRPr="00B1686C" w:rsidRDefault="00D02FEE" w:rsidP="00DD5C3C">
            <w:pPr>
              <w:suppressAutoHyphens/>
              <w:ind w:left="319"/>
              <w:jc w:val="both"/>
              <w:rPr>
                <w:rFonts w:cs="Arial"/>
                <w:sz w:val="20"/>
                <w:szCs w:val="20"/>
              </w:rPr>
            </w:pPr>
            <w:r w:rsidRPr="00B1686C">
              <w:rPr>
                <w:rFonts w:cs="Arial"/>
                <w:sz w:val="20"/>
                <w:szCs w:val="20"/>
              </w:rPr>
              <w:t>Right of way plats</w:t>
            </w:r>
          </w:p>
        </w:tc>
      </w:tr>
    </w:tbl>
    <w:p w14:paraId="66C398F8" w14:textId="77777777" w:rsidR="00D02FEE" w:rsidRPr="00B1686C" w:rsidRDefault="00D02FEE" w:rsidP="00476FE6">
      <w:pPr>
        <w:tabs>
          <w:tab w:val="left" w:pos="360"/>
        </w:tabs>
        <w:suppressAutoHyphens/>
        <w:ind w:left="360"/>
        <w:rPr>
          <w:rFonts w:cs="Arial"/>
          <w:sz w:val="20"/>
          <w:szCs w:val="20"/>
        </w:rPr>
      </w:pPr>
    </w:p>
    <w:p w14:paraId="66C398F9" w14:textId="77777777" w:rsidR="00D02FEE" w:rsidRPr="00B1686C" w:rsidRDefault="00D02FEE" w:rsidP="00476FE6">
      <w:pPr>
        <w:tabs>
          <w:tab w:val="left" w:pos="360"/>
        </w:tabs>
        <w:suppressAutoHyphens/>
        <w:ind w:left="360"/>
        <w:rPr>
          <w:rFonts w:cs="Arial"/>
          <w:sz w:val="20"/>
          <w:szCs w:val="20"/>
        </w:rPr>
      </w:pPr>
      <w:r w:rsidRPr="00B1686C">
        <w:rPr>
          <w:rFonts w:cs="Arial"/>
          <w:sz w:val="20"/>
          <w:szCs w:val="20"/>
        </w:rPr>
        <w:t>If nominal payment parcels are to be negotiated as part of this contract, DEPARTMENT shall determine which parcels qualify as nominal parcels and identify such parcels</w:t>
      </w:r>
      <w:r w:rsidR="00042DB0" w:rsidRPr="00B1686C">
        <w:rPr>
          <w:rFonts w:cs="Arial"/>
          <w:sz w:val="20"/>
          <w:szCs w:val="20"/>
        </w:rPr>
        <w:t>.</w:t>
      </w:r>
      <w:r w:rsidRPr="00B1686C">
        <w:rPr>
          <w:rFonts w:cs="Arial"/>
          <w:sz w:val="20"/>
          <w:szCs w:val="20"/>
        </w:rPr>
        <w:t xml:space="preserve"> CONSULTANT will determine the potential offering prices for all nominal parcels and provide DEPARTMENT a completed report listing those nominal values for review and approval. CONSULTANT shall submit a copy of the property owner’s appraisal report along with a recommendation for payment or non-payment, to DEPARTMENT for review.</w:t>
      </w:r>
    </w:p>
    <w:p w14:paraId="66C398FA" w14:textId="77777777" w:rsidR="00D02FEE" w:rsidRPr="00B1686C" w:rsidRDefault="00D02FEE" w:rsidP="00476FE6">
      <w:pPr>
        <w:tabs>
          <w:tab w:val="left" w:pos="360"/>
        </w:tabs>
        <w:suppressAutoHyphens/>
        <w:ind w:left="360"/>
        <w:rPr>
          <w:rFonts w:cs="Arial"/>
          <w:sz w:val="20"/>
          <w:szCs w:val="20"/>
        </w:rPr>
      </w:pPr>
    </w:p>
    <w:p w14:paraId="66C398FB" w14:textId="77777777" w:rsidR="00D02FEE" w:rsidRPr="00B1686C" w:rsidRDefault="00D02FEE" w:rsidP="00EA67B1">
      <w:pPr>
        <w:tabs>
          <w:tab w:val="left" w:pos="360"/>
        </w:tabs>
        <w:suppressAutoHyphens/>
        <w:ind w:left="360" w:right="-90"/>
        <w:rPr>
          <w:rFonts w:cs="Arial"/>
          <w:sz w:val="20"/>
          <w:szCs w:val="20"/>
        </w:rPr>
      </w:pPr>
      <w:r w:rsidRPr="00B1686C">
        <w:rPr>
          <w:rFonts w:cs="Arial"/>
          <w:sz w:val="20"/>
          <w:szCs w:val="20"/>
        </w:rPr>
        <w:t>When revised offers or administrative revisions are warranted due to errors, design changes, owner's counter offers, litigation protection or other reasons, CONSULTANT shall attempt to secure a purchase agreement from owner subject to approval by DEPARTMENT in the case of a minor adjustment. When a significant increase is involved</w:t>
      </w:r>
      <w:r w:rsidR="00A509E8" w:rsidRPr="00B1686C">
        <w:rPr>
          <w:rFonts w:cs="Arial"/>
          <w:sz w:val="20"/>
          <w:szCs w:val="20"/>
        </w:rPr>
        <w:t>,</w:t>
      </w:r>
      <w:r w:rsidRPr="00B1686C">
        <w:rPr>
          <w:rFonts w:cs="Arial"/>
          <w:sz w:val="20"/>
          <w:szCs w:val="20"/>
        </w:rPr>
        <w:t xml:space="preserve"> CONSULTANT shall set up a conference with DEPARTMENT to discuss proposed settlement prior to making any commitments to property owner. CONSULTANT should be prepared to present a recommendation and justification by means of </w:t>
      </w:r>
      <w:r w:rsidR="00EA67B1" w:rsidRPr="00B1686C">
        <w:rPr>
          <w:rFonts w:cs="Arial"/>
          <w:sz w:val="20"/>
          <w:szCs w:val="20"/>
        </w:rPr>
        <w:t xml:space="preserve">current available </w:t>
      </w:r>
      <w:r w:rsidRPr="00B1686C">
        <w:rPr>
          <w:rFonts w:cs="Arial"/>
          <w:sz w:val="20"/>
          <w:szCs w:val="20"/>
        </w:rPr>
        <w:t>factual data. In either event, CONSULTANT will formally submit an administrative revision or a revised offer to DEPARTMENT for approval. CONSULTANT shall submit to DEPARTMENT a progress report or progress reports as appropriate.</w:t>
      </w:r>
    </w:p>
    <w:p w14:paraId="66C398FC" w14:textId="77777777" w:rsidR="00D02FEE" w:rsidRPr="00B1686C" w:rsidRDefault="00D02FEE" w:rsidP="00476FE6">
      <w:pPr>
        <w:tabs>
          <w:tab w:val="left" w:pos="360"/>
        </w:tabs>
        <w:suppressAutoHyphens/>
        <w:ind w:left="360"/>
        <w:rPr>
          <w:rFonts w:cs="Arial"/>
          <w:sz w:val="20"/>
          <w:szCs w:val="20"/>
        </w:rPr>
      </w:pPr>
    </w:p>
    <w:p w14:paraId="66C398FD" w14:textId="77777777" w:rsidR="00D02FEE" w:rsidRPr="00B1686C" w:rsidRDefault="00D02FEE" w:rsidP="00476FE6">
      <w:pPr>
        <w:tabs>
          <w:tab w:val="left" w:pos="360"/>
        </w:tabs>
        <w:suppressAutoHyphens/>
        <w:ind w:left="360"/>
        <w:rPr>
          <w:rFonts w:cs="Arial"/>
          <w:sz w:val="20"/>
          <w:szCs w:val="20"/>
        </w:rPr>
      </w:pPr>
      <w:r w:rsidRPr="00B1686C">
        <w:rPr>
          <w:rFonts w:cs="Arial"/>
          <w:sz w:val="20"/>
          <w:szCs w:val="20"/>
        </w:rPr>
        <w:lastRenderedPageBreak/>
        <w:t>If nominal payment parcels are to be negotiated as a part of this contract, CONSULTANT shall be responsible for negotiation and appraisal of those parcels identified as nominal payment parcels</w:t>
      </w:r>
      <w:r w:rsidR="00042DB0" w:rsidRPr="00B1686C">
        <w:rPr>
          <w:rFonts w:cs="Arial"/>
          <w:sz w:val="20"/>
          <w:szCs w:val="20"/>
        </w:rPr>
        <w:t>.</w:t>
      </w:r>
      <w:r w:rsidRPr="00B1686C">
        <w:rPr>
          <w:rFonts w:cs="Arial"/>
          <w:sz w:val="20"/>
          <w:szCs w:val="20"/>
        </w:rPr>
        <w:t xml:space="preserve"> Additional negotiations are to be handled at no additional cost if parcel needs to be appraised for condemnation.</w:t>
      </w:r>
    </w:p>
    <w:p w14:paraId="66C398FE" w14:textId="77777777" w:rsidR="00D02FEE" w:rsidRPr="00B1686C" w:rsidRDefault="00D02FEE" w:rsidP="00224A9D">
      <w:pPr>
        <w:pStyle w:val="BodyTextIndent2"/>
        <w:tabs>
          <w:tab w:val="clear" w:pos="-720"/>
          <w:tab w:val="clear" w:pos="0"/>
        </w:tabs>
        <w:ind w:left="360" w:firstLine="0"/>
        <w:rPr>
          <w:rFonts w:cs="Arial"/>
          <w:sz w:val="20"/>
          <w:szCs w:val="20"/>
        </w:rPr>
      </w:pPr>
    </w:p>
    <w:p w14:paraId="66C398FF" w14:textId="77777777" w:rsidR="00D22E4A" w:rsidRPr="00B1686C" w:rsidRDefault="00D22E4A" w:rsidP="00D22E4A">
      <w:pPr>
        <w:numPr>
          <w:ilvl w:val="0"/>
          <w:numId w:val="7"/>
        </w:numPr>
        <w:suppressAutoHyphens/>
        <w:ind w:left="720" w:hanging="360"/>
        <w:rPr>
          <w:rFonts w:cs="Arial"/>
          <w:spacing w:val="-3"/>
          <w:sz w:val="20"/>
          <w:szCs w:val="20"/>
        </w:rPr>
      </w:pPr>
      <w:r w:rsidRPr="00B1686C">
        <w:rPr>
          <w:rFonts w:cs="Arial"/>
          <w:spacing w:val="-3"/>
          <w:sz w:val="20"/>
          <w:szCs w:val="20"/>
        </w:rPr>
        <w:t>Miscellaneous, general project management, and WisDOT Real Estate specific required activities:</w:t>
      </w:r>
    </w:p>
    <w:p w14:paraId="66C39900" w14:textId="77777777" w:rsidR="00D22E4A" w:rsidRPr="00B1686C" w:rsidRDefault="00D22E4A" w:rsidP="00D22E4A">
      <w:pPr>
        <w:suppressAutoHyphens/>
        <w:ind w:left="360"/>
        <w:rPr>
          <w:rFonts w:cs="Arial"/>
          <w:spacing w:val="-3"/>
          <w:sz w:val="20"/>
          <w:szCs w:val="20"/>
        </w:rPr>
      </w:pPr>
    </w:p>
    <w:p w14:paraId="66C39901" w14:textId="77777777" w:rsidR="00D22E4A" w:rsidRPr="00B1686C" w:rsidRDefault="00D22E4A" w:rsidP="00D22E4A">
      <w:pPr>
        <w:suppressAutoHyphens/>
        <w:ind w:left="360"/>
        <w:rPr>
          <w:rFonts w:cs="Arial"/>
          <w:spacing w:val="-3"/>
          <w:sz w:val="20"/>
          <w:szCs w:val="20"/>
        </w:rPr>
      </w:pPr>
      <w:r w:rsidRPr="00B1686C">
        <w:rPr>
          <w:rFonts w:cs="Arial"/>
          <w:spacing w:val="-3"/>
          <w:sz w:val="20"/>
          <w:szCs w:val="20"/>
        </w:rPr>
        <w:t>All provisions and language originally included as part of the larger master contract boilerplate document is hereby referenced and made a part of this Work Order agreement.</w:t>
      </w:r>
    </w:p>
    <w:p w14:paraId="66C39902" w14:textId="77777777" w:rsidR="00D22E4A" w:rsidRPr="00B1686C" w:rsidRDefault="00D22E4A" w:rsidP="00D22E4A">
      <w:pPr>
        <w:suppressAutoHyphens/>
        <w:ind w:left="360"/>
        <w:rPr>
          <w:rFonts w:cs="Arial"/>
          <w:spacing w:val="-3"/>
          <w:sz w:val="20"/>
          <w:szCs w:val="20"/>
        </w:rPr>
      </w:pPr>
    </w:p>
    <w:p w14:paraId="66C39903" w14:textId="77777777" w:rsidR="00D22E4A" w:rsidRPr="00B1686C" w:rsidRDefault="00D22E4A" w:rsidP="00D22E4A">
      <w:pPr>
        <w:suppressAutoHyphens/>
        <w:ind w:left="360"/>
        <w:rPr>
          <w:rFonts w:cs="Arial"/>
          <w:spacing w:val="-3"/>
          <w:sz w:val="20"/>
          <w:szCs w:val="20"/>
        </w:rPr>
      </w:pPr>
      <w:r w:rsidRPr="00B1686C">
        <w:rPr>
          <w:rFonts w:cs="Arial"/>
          <w:spacing w:val="-3"/>
          <w:sz w:val="20"/>
          <w:szCs w:val="20"/>
        </w:rPr>
        <w:t xml:space="preserve">CONSULTANT must adhere to the processes, </w:t>
      </w:r>
      <w:proofErr w:type="gramStart"/>
      <w:r w:rsidRPr="00B1686C">
        <w:rPr>
          <w:rFonts w:cs="Arial"/>
          <w:spacing w:val="-3"/>
          <w:sz w:val="20"/>
          <w:szCs w:val="20"/>
        </w:rPr>
        <w:t>procedures</w:t>
      </w:r>
      <w:proofErr w:type="gramEnd"/>
      <w:r w:rsidRPr="00B1686C">
        <w:rPr>
          <w:rFonts w:cs="Arial"/>
          <w:spacing w:val="-3"/>
          <w:sz w:val="20"/>
          <w:szCs w:val="20"/>
        </w:rPr>
        <w:t xml:space="preserve"> and all appropriate policy provisions as per the WisDOT Real Estate Program Manual (REPM) or as otherwise directed and prescribed. Access to REPM is from </w:t>
      </w:r>
      <w:hyperlink r:id="rId14" w:history="1">
        <w:r w:rsidRPr="00B1686C">
          <w:rPr>
            <w:rStyle w:val="Hyperlink"/>
            <w:rFonts w:cs="Arial"/>
            <w:spacing w:val="-3"/>
            <w:sz w:val="20"/>
            <w:szCs w:val="20"/>
          </w:rPr>
          <w:t>WisDOT</w:t>
        </w:r>
      </w:hyperlink>
      <w:r w:rsidRPr="00B1686C">
        <w:rPr>
          <w:rFonts w:cs="Arial"/>
          <w:spacing w:val="-3"/>
          <w:sz w:val="20"/>
          <w:szCs w:val="20"/>
        </w:rPr>
        <w:t xml:space="preserve"> / </w:t>
      </w:r>
      <w:hyperlink r:id="rId15" w:history="1">
        <w:r w:rsidRPr="00B1686C">
          <w:rPr>
            <w:rStyle w:val="Hyperlink"/>
            <w:rFonts w:cs="Arial"/>
            <w:spacing w:val="-3"/>
            <w:sz w:val="20"/>
            <w:szCs w:val="20"/>
          </w:rPr>
          <w:t>Doing business/Structure and roadway resources</w:t>
        </w:r>
      </w:hyperlink>
      <w:r w:rsidRPr="00B1686C">
        <w:rPr>
          <w:rFonts w:cs="Arial"/>
          <w:spacing w:val="-3"/>
          <w:sz w:val="20"/>
          <w:szCs w:val="20"/>
        </w:rPr>
        <w:t xml:space="preserve"> webpage, then to </w:t>
      </w:r>
      <w:hyperlink r:id="rId16" w:history="1">
        <w:r w:rsidRPr="00B1686C">
          <w:rPr>
            <w:rStyle w:val="Hyperlink"/>
            <w:rFonts w:cs="Arial"/>
            <w:spacing w:val="-3"/>
            <w:sz w:val="20"/>
            <w:szCs w:val="20"/>
          </w:rPr>
          <w:t>Real Estate</w:t>
        </w:r>
      </w:hyperlink>
      <w:r w:rsidRPr="00B1686C">
        <w:rPr>
          <w:rFonts w:cs="Arial"/>
          <w:spacing w:val="-3"/>
          <w:sz w:val="20"/>
          <w:szCs w:val="20"/>
        </w:rPr>
        <w:t xml:space="preserve"> pages (no log on required). CONSULTANTS must stay alert to developing and changing DEPARTMENT policy as well as industry trends, professional standards, changes to state and federal rules and laws, and must adapt and adhere to all as appropriate.</w:t>
      </w:r>
    </w:p>
    <w:p w14:paraId="66C39904" w14:textId="77777777" w:rsidR="00D22E4A" w:rsidRPr="00B1686C" w:rsidRDefault="00D22E4A" w:rsidP="00D22E4A">
      <w:pPr>
        <w:suppressAutoHyphens/>
        <w:ind w:left="360"/>
        <w:rPr>
          <w:rFonts w:cs="Arial"/>
          <w:spacing w:val="-3"/>
          <w:sz w:val="20"/>
          <w:szCs w:val="20"/>
        </w:rPr>
      </w:pPr>
    </w:p>
    <w:p w14:paraId="66C39905" w14:textId="77777777" w:rsidR="00D22E4A" w:rsidRPr="00B1686C" w:rsidRDefault="00D22E4A" w:rsidP="00D22E4A">
      <w:pPr>
        <w:suppressAutoHyphens/>
        <w:ind w:left="360"/>
        <w:rPr>
          <w:rFonts w:cs="Arial"/>
          <w:sz w:val="20"/>
          <w:szCs w:val="20"/>
        </w:rPr>
      </w:pPr>
      <w:r w:rsidRPr="00B1686C">
        <w:rPr>
          <w:rFonts w:cs="Arial"/>
          <w:spacing w:val="-3"/>
          <w:sz w:val="20"/>
          <w:szCs w:val="20"/>
        </w:rPr>
        <w:t xml:space="preserve">CONSULTANT must be able to </w:t>
      </w:r>
      <w:proofErr w:type="gramStart"/>
      <w:r w:rsidRPr="00B1686C">
        <w:rPr>
          <w:rFonts w:cs="Arial"/>
          <w:spacing w:val="-3"/>
          <w:sz w:val="20"/>
          <w:szCs w:val="20"/>
        </w:rPr>
        <w:t>access</w:t>
      </w:r>
      <w:proofErr w:type="gramEnd"/>
      <w:r w:rsidRPr="00B1686C">
        <w:rPr>
          <w:rFonts w:cs="Arial"/>
          <w:spacing w:val="-3"/>
          <w:sz w:val="20"/>
          <w:szCs w:val="20"/>
        </w:rPr>
        <w:t xml:space="preserve"> and use READS to effectively create, maintain and complete all required project management information, steps, processes and processing activities as currently available in READS and associated with each contracted project activity scope of services. CONSULTANT shall enter and maintain READS information in a timely, </w:t>
      </w:r>
      <w:proofErr w:type="gramStart"/>
      <w:r w:rsidRPr="00B1686C">
        <w:rPr>
          <w:rFonts w:cs="Arial"/>
          <w:spacing w:val="-3"/>
          <w:sz w:val="20"/>
          <w:szCs w:val="20"/>
        </w:rPr>
        <w:t>complete</w:t>
      </w:r>
      <w:proofErr w:type="gramEnd"/>
      <w:r w:rsidRPr="00B1686C">
        <w:rPr>
          <w:rFonts w:cs="Arial"/>
          <w:spacing w:val="-3"/>
          <w:sz w:val="20"/>
          <w:szCs w:val="20"/>
        </w:rPr>
        <w:t xml:space="preserve"> and appropriate manner. Access to READS is also from </w:t>
      </w:r>
      <w:hyperlink r:id="rId17" w:history="1">
        <w:r w:rsidRPr="00B1686C">
          <w:rPr>
            <w:rStyle w:val="Hyperlink"/>
            <w:rFonts w:cs="Arial"/>
            <w:spacing w:val="-3"/>
            <w:sz w:val="20"/>
            <w:szCs w:val="20"/>
          </w:rPr>
          <w:t>WisDOT</w:t>
        </w:r>
      </w:hyperlink>
      <w:r w:rsidRPr="00B1686C">
        <w:rPr>
          <w:rFonts w:cs="Arial"/>
          <w:spacing w:val="-3"/>
          <w:sz w:val="20"/>
          <w:szCs w:val="20"/>
        </w:rPr>
        <w:t xml:space="preserve"> / </w:t>
      </w:r>
      <w:hyperlink r:id="rId18" w:history="1">
        <w:r w:rsidRPr="00B1686C">
          <w:rPr>
            <w:rStyle w:val="Hyperlink"/>
            <w:rFonts w:cs="Arial"/>
            <w:spacing w:val="-3"/>
            <w:sz w:val="20"/>
            <w:szCs w:val="20"/>
          </w:rPr>
          <w:t>Doing business/Structure and roadway resources</w:t>
        </w:r>
      </w:hyperlink>
      <w:r w:rsidRPr="00B1686C">
        <w:rPr>
          <w:rFonts w:cs="Arial"/>
          <w:spacing w:val="-3"/>
          <w:sz w:val="20"/>
          <w:szCs w:val="20"/>
        </w:rPr>
        <w:t xml:space="preserve"> webpage. Note: READS is only available consultants currently under contract for WisDOT Real Estate projects. First time users must have a valid WAMS ID and before using READS, must </w:t>
      </w:r>
      <w:hyperlink r:id="rId19" w:history="1">
        <w:r w:rsidRPr="00B1686C">
          <w:rPr>
            <w:rStyle w:val="Hyperlink"/>
            <w:rFonts w:cs="Arial"/>
            <w:sz w:val="20"/>
            <w:szCs w:val="20"/>
          </w:rPr>
          <w:t>request access</w:t>
        </w:r>
      </w:hyperlink>
      <w:r w:rsidRPr="00B1686C">
        <w:rPr>
          <w:rFonts w:cs="Arial"/>
          <w:color w:val="444444"/>
          <w:sz w:val="20"/>
          <w:szCs w:val="20"/>
        </w:rPr>
        <w:t>.</w:t>
      </w:r>
    </w:p>
    <w:p w14:paraId="66C39906" w14:textId="77777777" w:rsidR="00D22E4A" w:rsidRPr="00B1686C" w:rsidRDefault="00D22E4A" w:rsidP="00D22E4A">
      <w:pPr>
        <w:suppressAutoHyphens/>
        <w:ind w:left="360"/>
        <w:rPr>
          <w:rFonts w:cs="Arial"/>
          <w:sz w:val="20"/>
          <w:szCs w:val="20"/>
        </w:rPr>
      </w:pPr>
    </w:p>
    <w:p w14:paraId="66C39907" w14:textId="77777777" w:rsidR="00D22E4A" w:rsidRPr="00B1686C" w:rsidRDefault="00D22E4A" w:rsidP="00D22E4A">
      <w:pPr>
        <w:suppressAutoHyphens/>
        <w:ind w:left="360"/>
        <w:rPr>
          <w:rFonts w:cs="Arial"/>
          <w:sz w:val="20"/>
          <w:szCs w:val="20"/>
        </w:rPr>
      </w:pPr>
      <w:r w:rsidRPr="00B1686C">
        <w:rPr>
          <w:rFonts w:cs="Arial"/>
          <w:sz w:val="20"/>
          <w:szCs w:val="20"/>
        </w:rPr>
        <w:t>CONSULTANT must stay alert to evolving technology and must be capable of effectively understanding, making use of and applying current as well as developing electronic applications and tools as would normally be expected and required or otherwise considered a regular part of any DEPARTMENT project or processing activity.</w:t>
      </w:r>
    </w:p>
    <w:p w14:paraId="66C39908" w14:textId="77777777" w:rsidR="00D22E4A" w:rsidRPr="00B1686C" w:rsidRDefault="00D22E4A" w:rsidP="00D22E4A">
      <w:pPr>
        <w:suppressAutoHyphens/>
        <w:ind w:left="360"/>
        <w:rPr>
          <w:rFonts w:cs="Arial"/>
          <w:sz w:val="20"/>
          <w:szCs w:val="20"/>
        </w:rPr>
      </w:pPr>
    </w:p>
    <w:p w14:paraId="66C39909" w14:textId="77777777" w:rsidR="00D22E4A" w:rsidRPr="00B1686C" w:rsidRDefault="00D22E4A" w:rsidP="00D22E4A">
      <w:pPr>
        <w:suppressAutoHyphens/>
        <w:ind w:left="360"/>
        <w:rPr>
          <w:rFonts w:cs="Arial"/>
          <w:sz w:val="20"/>
          <w:szCs w:val="20"/>
        </w:rPr>
      </w:pPr>
      <w:r w:rsidRPr="00B1686C">
        <w:rPr>
          <w:rFonts w:cs="Arial"/>
          <w:sz w:val="20"/>
          <w:szCs w:val="20"/>
          <w:u w:val="single"/>
        </w:rPr>
        <w:t>Special note about availability and use of Real Estate forms</w:t>
      </w:r>
      <w:r w:rsidRPr="00B1686C">
        <w:rPr>
          <w:rFonts w:cs="Arial"/>
          <w:sz w:val="20"/>
          <w:szCs w:val="20"/>
        </w:rPr>
        <w:t xml:space="preserve">: Each applicable and required DEPARTMENT Real Estate specific form is either available via the </w:t>
      </w:r>
      <w:hyperlink r:id="rId20" w:history="1">
        <w:r w:rsidRPr="00B1686C">
          <w:rPr>
            <w:rStyle w:val="Hyperlink"/>
            <w:rFonts w:cs="Arial"/>
            <w:sz w:val="20"/>
            <w:szCs w:val="20"/>
          </w:rPr>
          <w:t>Real Estate Program Manual (REPM)</w:t>
        </w:r>
      </w:hyperlink>
      <w:r w:rsidRPr="00B1686C">
        <w:rPr>
          <w:rFonts w:cs="Arial"/>
          <w:sz w:val="20"/>
          <w:szCs w:val="20"/>
        </w:rPr>
        <w:t>/</w:t>
      </w:r>
      <w:hyperlink r:id="rId21" w:history="1">
        <w:r w:rsidRPr="00B1686C">
          <w:rPr>
            <w:rStyle w:val="Hyperlink"/>
            <w:rFonts w:cs="Arial"/>
            <w:sz w:val="20"/>
            <w:szCs w:val="20"/>
          </w:rPr>
          <w:t>Forms</w:t>
        </w:r>
      </w:hyperlink>
      <w:r w:rsidRPr="00B1686C">
        <w:rPr>
          <w:rFonts w:cs="Arial"/>
          <w:sz w:val="20"/>
          <w:szCs w:val="20"/>
        </w:rPr>
        <w:t xml:space="preserve"> page in a fill-ready paper format; or, must otherwise be generated directly from READS as part of each current project activity. It is important to understand and note that only those forms listed as being available in a 'paper only' format from the REPM/Forms page are </w:t>
      </w:r>
      <w:proofErr w:type="gramStart"/>
      <w:r w:rsidRPr="00B1686C">
        <w:rPr>
          <w:rFonts w:cs="Arial"/>
          <w:sz w:val="20"/>
          <w:szCs w:val="20"/>
        </w:rPr>
        <w:t>actually fillable</w:t>
      </w:r>
      <w:proofErr w:type="gramEnd"/>
      <w:r w:rsidRPr="00B1686C">
        <w:rPr>
          <w:rFonts w:cs="Arial"/>
          <w:sz w:val="20"/>
          <w:szCs w:val="20"/>
        </w:rPr>
        <w:t xml:space="preserve"> documents and therefore may be downloaded for direct use. In contrast, any document viewable as a PDF and listed as being a 'READS template' format must be generated directly from READS as part of each appropriate project activity, per scope of services, and the attached Work Order agreement. Forms or any version of a form (e.g., READS template) not otherwise currently posted to REPM/Forms page are not authorized for use and should not be used except by prior and special permission and then only on an individual, as specially approved/as needed basis.</w:t>
      </w:r>
    </w:p>
    <w:p w14:paraId="66C3990A" w14:textId="77777777" w:rsidR="00D22E4A" w:rsidRPr="00B1686C" w:rsidRDefault="00D22E4A" w:rsidP="00D22E4A">
      <w:pPr>
        <w:suppressAutoHyphens/>
        <w:ind w:left="360"/>
        <w:rPr>
          <w:rFonts w:cs="Arial"/>
          <w:sz w:val="20"/>
          <w:szCs w:val="20"/>
        </w:rPr>
      </w:pPr>
    </w:p>
    <w:p w14:paraId="66C3990B" w14:textId="77777777" w:rsidR="00B1686C" w:rsidRPr="00B1686C" w:rsidRDefault="00B1686C" w:rsidP="00B1686C">
      <w:pPr>
        <w:suppressAutoHyphens/>
        <w:ind w:left="360"/>
        <w:rPr>
          <w:rFonts w:cs="Arial"/>
          <w:sz w:val="20"/>
          <w:szCs w:val="20"/>
        </w:rPr>
      </w:pPr>
      <w:r w:rsidRPr="00B1686C">
        <w:rPr>
          <w:rFonts w:cs="Arial"/>
          <w:sz w:val="20"/>
          <w:szCs w:val="20"/>
        </w:rPr>
        <w:t>All staff and/or sub-consultants who will be assigned to perform any part of the work on this project must be clearly identified and named as a part of this Work Order agreement. Only staff and/or sub-consultants named and approved for their credentials as described in your original Notice of Interest (NOI) solicitation materials should be included on any Work Order agreement.</w:t>
      </w:r>
    </w:p>
    <w:p w14:paraId="66C3990C" w14:textId="77777777" w:rsidR="00B1686C" w:rsidRPr="00B1686C" w:rsidRDefault="00B1686C" w:rsidP="00B1686C">
      <w:pPr>
        <w:suppressAutoHyphens/>
        <w:ind w:left="360"/>
        <w:rPr>
          <w:rFonts w:cs="Arial"/>
          <w:sz w:val="20"/>
          <w:szCs w:val="20"/>
        </w:rPr>
      </w:pPr>
    </w:p>
    <w:p w14:paraId="66C3990D" w14:textId="77777777" w:rsidR="00B1686C" w:rsidRPr="00B1686C" w:rsidRDefault="00B1686C" w:rsidP="00B1686C">
      <w:pPr>
        <w:suppressAutoHyphens/>
        <w:ind w:left="360"/>
        <w:rPr>
          <w:rFonts w:cs="Arial"/>
          <w:sz w:val="20"/>
          <w:szCs w:val="20"/>
        </w:rPr>
      </w:pPr>
      <w:r w:rsidRPr="00B1686C">
        <w:rPr>
          <w:rFonts w:cs="Arial"/>
          <w:sz w:val="20"/>
          <w:szCs w:val="20"/>
          <w:u w:val="single"/>
        </w:rPr>
        <w:t>Special note about staff changes within your firm</w:t>
      </w:r>
      <w:r w:rsidRPr="00B1686C">
        <w:rPr>
          <w:rFonts w:cs="Arial"/>
          <w:sz w:val="20"/>
          <w:szCs w:val="20"/>
        </w:rPr>
        <w:t>: WisDOT/Real Estate needs to review and approve any individuals new to your staff who you intend to include as a part of any new Work Order agreement. For most contracting services, you may include new staff and/or sub-consultant names and their credentials for review and approval along with the scope of work details as a part of the Work Order agreement package. For certain types of work, however, we’ve developed an additional standardized review/approval process. If an individual(s) was not originally named or included as part of your Notice of Interest (NOI) solicitation materials, depending on the type(s) of work that individual(s) is now expected to perform for us, they may also need to complete the appropriate and related Capability Statement form(s). Currently, we have a separate review/approval process needed for any new staff seeking first time approval to perform work in these areas: Acquisition/Negotiation [</w:t>
      </w:r>
      <w:hyperlink r:id="rId22" w:history="1">
        <w:r w:rsidRPr="00B1686C">
          <w:rPr>
            <w:rStyle w:val="Hyperlink"/>
            <w:rFonts w:cs="Arial"/>
            <w:sz w:val="20"/>
            <w:szCs w:val="20"/>
          </w:rPr>
          <w:t>RE1040</w:t>
        </w:r>
      </w:hyperlink>
      <w:r w:rsidRPr="00B1686C">
        <w:rPr>
          <w:rFonts w:cs="Arial"/>
          <w:sz w:val="20"/>
          <w:szCs w:val="20"/>
        </w:rPr>
        <w:t>]; Appraisal [</w:t>
      </w:r>
      <w:hyperlink r:id="rId23" w:history="1">
        <w:r w:rsidRPr="00B1686C">
          <w:rPr>
            <w:rStyle w:val="Hyperlink"/>
            <w:rFonts w:cs="Arial"/>
            <w:sz w:val="20"/>
            <w:szCs w:val="20"/>
          </w:rPr>
          <w:t>RE1041</w:t>
        </w:r>
      </w:hyperlink>
      <w:r w:rsidRPr="00B1686C">
        <w:rPr>
          <w:rFonts w:cs="Arial"/>
          <w:sz w:val="20"/>
          <w:szCs w:val="20"/>
        </w:rPr>
        <w:t>]; and, Relocation [</w:t>
      </w:r>
      <w:hyperlink r:id="rId24" w:history="1">
        <w:r w:rsidRPr="00B1686C">
          <w:rPr>
            <w:rStyle w:val="Hyperlink"/>
            <w:rFonts w:cs="Arial"/>
            <w:sz w:val="20"/>
            <w:szCs w:val="20"/>
          </w:rPr>
          <w:t>RE1042</w:t>
        </w:r>
      </w:hyperlink>
      <w:r w:rsidRPr="00B1686C">
        <w:rPr>
          <w:rFonts w:cs="Arial"/>
          <w:sz w:val="20"/>
          <w:szCs w:val="20"/>
        </w:rPr>
        <w:t xml:space="preserve">]. Note: This separate review/approval process is only needed for individuals seeking first time approval to perform certain types of eminent domain work for WisDOT/Real Estate as part of a fee consultant group when that group already holds an existing active contract and if that individual(s) was not originally named and therefore already approved as part of the original solicitation and NOI. </w:t>
      </w:r>
      <w:proofErr w:type="gramStart"/>
      <w:r w:rsidRPr="00B1686C">
        <w:rPr>
          <w:rFonts w:cs="Arial"/>
          <w:sz w:val="20"/>
          <w:szCs w:val="20"/>
        </w:rPr>
        <w:t>Each individual(s)</w:t>
      </w:r>
      <w:proofErr w:type="gramEnd"/>
      <w:r w:rsidRPr="00B1686C">
        <w:rPr>
          <w:rFonts w:cs="Arial"/>
          <w:sz w:val="20"/>
          <w:szCs w:val="20"/>
        </w:rPr>
        <w:t xml:space="preserve"> seeking first time approval must therefore complete the appropriate Capability Statement form(s) and receive a separate written approval from Bureau of Technical Services-Real Estate (BTS-RE) prior to beginning any work on a WisDOT/Real Estate project.</w:t>
      </w:r>
    </w:p>
    <w:p w14:paraId="66C3990E" w14:textId="77777777" w:rsidR="00B1686C" w:rsidRPr="00B1686C" w:rsidRDefault="00B1686C" w:rsidP="00B1686C">
      <w:pPr>
        <w:suppressAutoHyphens/>
        <w:ind w:left="360"/>
        <w:rPr>
          <w:rFonts w:cs="Arial"/>
          <w:sz w:val="20"/>
          <w:szCs w:val="20"/>
        </w:rPr>
      </w:pPr>
    </w:p>
    <w:p w14:paraId="66C3990F" w14:textId="77777777" w:rsidR="00D22E4A" w:rsidRPr="00B1686C" w:rsidRDefault="00D22E4A" w:rsidP="00D22E4A">
      <w:pPr>
        <w:numPr>
          <w:ilvl w:val="0"/>
          <w:numId w:val="7"/>
        </w:numPr>
        <w:suppressAutoHyphens/>
        <w:ind w:left="720" w:hanging="360"/>
        <w:rPr>
          <w:rFonts w:cs="Arial"/>
          <w:spacing w:val="-3"/>
          <w:sz w:val="20"/>
          <w:szCs w:val="20"/>
        </w:rPr>
      </w:pPr>
      <w:r w:rsidRPr="00B1686C">
        <w:rPr>
          <w:rFonts w:cs="Arial"/>
          <w:spacing w:val="-3"/>
          <w:sz w:val="20"/>
          <w:szCs w:val="20"/>
        </w:rPr>
        <w:t>Evaluation</w:t>
      </w:r>
    </w:p>
    <w:p w14:paraId="66C39910" w14:textId="77777777" w:rsidR="00D22E4A" w:rsidRPr="00B1686C" w:rsidRDefault="00D22E4A" w:rsidP="00D22E4A">
      <w:pPr>
        <w:suppressAutoHyphens/>
        <w:ind w:left="360"/>
        <w:rPr>
          <w:rFonts w:cs="Arial"/>
          <w:spacing w:val="-3"/>
          <w:sz w:val="20"/>
          <w:szCs w:val="20"/>
        </w:rPr>
      </w:pPr>
    </w:p>
    <w:p w14:paraId="66C39911" w14:textId="77777777" w:rsidR="00D22E4A" w:rsidRPr="00B1686C" w:rsidRDefault="00D22E4A" w:rsidP="00D22E4A">
      <w:pPr>
        <w:suppressAutoHyphens/>
        <w:ind w:left="360"/>
        <w:rPr>
          <w:rFonts w:cs="Arial"/>
          <w:spacing w:val="-3"/>
          <w:sz w:val="20"/>
          <w:szCs w:val="20"/>
        </w:rPr>
      </w:pPr>
      <w:r w:rsidRPr="00B1686C">
        <w:rPr>
          <w:rFonts w:cs="Arial"/>
          <w:spacing w:val="-3"/>
          <w:sz w:val="20"/>
          <w:szCs w:val="20"/>
        </w:rPr>
        <w:t>Performance evaluations are performed within 30 days of service acceptance via WisDOT’s electronic contract administration report system (</w:t>
      </w:r>
      <w:hyperlink r:id="rId25" w:history="1">
        <w:r w:rsidRPr="00B1686C">
          <w:rPr>
            <w:rStyle w:val="Hyperlink"/>
            <w:rFonts w:cs="Arial"/>
            <w:spacing w:val="-3"/>
            <w:sz w:val="20"/>
            <w:szCs w:val="20"/>
          </w:rPr>
          <w:t>CARS</w:t>
        </w:r>
      </w:hyperlink>
      <w:r w:rsidRPr="00B1686C">
        <w:rPr>
          <w:rFonts w:cs="Arial"/>
          <w:spacing w:val="-3"/>
          <w:sz w:val="20"/>
          <w:szCs w:val="20"/>
        </w:rPr>
        <w:t>).</w:t>
      </w:r>
    </w:p>
    <w:p w14:paraId="66C39912" w14:textId="77777777" w:rsidR="00D22E4A" w:rsidRPr="00B1686C" w:rsidRDefault="00D22E4A" w:rsidP="00D22E4A">
      <w:pPr>
        <w:pStyle w:val="BodyTextIndent2"/>
        <w:tabs>
          <w:tab w:val="clear" w:pos="-720"/>
          <w:tab w:val="clear" w:pos="0"/>
        </w:tabs>
        <w:ind w:left="360" w:firstLine="0"/>
        <w:rPr>
          <w:rFonts w:cs="Arial"/>
          <w:sz w:val="20"/>
          <w:szCs w:val="20"/>
        </w:rPr>
      </w:pPr>
    </w:p>
    <w:p w14:paraId="66C39913" w14:textId="77777777" w:rsidR="00D22E4A" w:rsidRPr="00B1686C" w:rsidRDefault="00D22E4A" w:rsidP="00D22E4A">
      <w:pPr>
        <w:numPr>
          <w:ilvl w:val="0"/>
          <w:numId w:val="7"/>
        </w:numPr>
        <w:suppressAutoHyphens/>
        <w:ind w:left="720" w:hanging="360"/>
        <w:rPr>
          <w:rFonts w:cs="Arial"/>
          <w:spacing w:val="-3"/>
          <w:sz w:val="20"/>
          <w:szCs w:val="20"/>
        </w:rPr>
      </w:pPr>
      <w:r w:rsidRPr="00B1686C">
        <w:rPr>
          <w:rFonts w:cs="Arial"/>
          <w:spacing w:val="-3"/>
          <w:sz w:val="20"/>
          <w:szCs w:val="20"/>
        </w:rPr>
        <w:t>Invoicing</w:t>
      </w:r>
    </w:p>
    <w:p w14:paraId="66C39914" w14:textId="77777777" w:rsidR="00D22E4A" w:rsidRPr="00B1686C" w:rsidRDefault="00D22E4A" w:rsidP="00D22E4A">
      <w:pPr>
        <w:pStyle w:val="BodyTextIndent2"/>
        <w:tabs>
          <w:tab w:val="clear" w:pos="-720"/>
          <w:tab w:val="clear" w:pos="0"/>
        </w:tabs>
        <w:ind w:left="360" w:firstLine="0"/>
        <w:rPr>
          <w:rFonts w:cs="Arial"/>
          <w:sz w:val="20"/>
          <w:szCs w:val="20"/>
        </w:rPr>
      </w:pPr>
    </w:p>
    <w:p w14:paraId="66C39915" w14:textId="77777777" w:rsidR="00B2691F" w:rsidRPr="00D62EAE" w:rsidRDefault="00D22E4A" w:rsidP="00D22E4A">
      <w:pPr>
        <w:suppressAutoHyphens/>
        <w:ind w:left="360"/>
        <w:rPr>
          <w:rFonts w:cs="Arial"/>
          <w:sz w:val="20"/>
          <w:szCs w:val="20"/>
        </w:rPr>
      </w:pPr>
      <w:r w:rsidRPr="00B1686C">
        <w:rPr>
          <w:rFonts w:cs="Arial"/>
          <w:spacing w:val="-3"/>
          <w:sz w:val="20"/>
          <w:szCs w:val="20"/>
        </w:rPr>
        <w:t>CONSULTANT must submit all invoices with appropriate supporting documentation electronically via WisDOT’s contract administration reporting system (</w:t>
      </w:r>
      <w:hyperlink r:id="rId26" w:history="1">
        <w:r w:rsidRPr="00B1686C">
          <w:rPr>
            <w:rStyle w:val="Hyperlink"/>
            <w:rFonts w:cs="Arial"/>
            <w:spacing w:val="-3"/>
            <w:sz w:val="20"/>
            <w:szCs w:val="20"/>
          </w:rPr>
          <w:t>CARS</w:t>
        </w:r>
      </w:hyperlink>
      <w:r w:rsidRPr="00B1686C">
        <w:rPr>
          <w:rFonts w:cs="Arial"/>
          <w:spacing w:val="-3"/>
          <w:sz w:val="20"/>
          <w:szCs w:val="20"/>
        </w:rPr>
        <w:t xml:space="preserve">). </w:t>
      </w:r>
      <w:r w:rsidRPr="00B1686C">
        <w:rPr>
          <w:rFonts w:cs="Arial"/>
          <w:sz w:val="20"/>
          <w:szCs w:val="20"/>
        </w:rPr>
        <w:t xml:space="preserve">To request initial access to CARS, complete form </w:t>
      </w:r>
      <w:hyperlink r:id="rId27" w:history="1">
        <w:r w:rsidRPr="00B1686C">
          <w:rPr>
            <w:rStyle w:val="Hyperlink"/>
            <w:rFonts w:cs="Arial"/>
            <w:sz w:val="20"/>
            <w:szCs w:val="20"/>
          </w:rPr>
          <w:t>DT1522 - CARS Request for Access</w:t>
        </w:r>
      </w:hyperlink>
      <w:r w:rsidRPr="00B1686C">
        <w:rPr>
          <w:rFonts w:cs="Arial"/>
          <w:sz w:val="20"/>
          <w:szCs w:val="20"/>
        </w:rPr>
        <w:t xml:space="preserve">, then email to </w:t>
      </w:r>
      <w:hyperlink r:id="rId28" w:history="1">
        <w:r w:rsidRPr="00B1686C">
          <w:rPr>
            <w:rStyle w:val="Hyperlink"/>
            <w:rFonts w:cs="Arial"/>
            <w:sz w:val="20"/>
            <w:szCs w:val="20"/>
          </w:rPr>
          <w:t>WisDOTCARS@dot.wi.gov</w:t>
        </w:r>
      </w:hyperlink>
      <w:r w:rsidRPr="00B1686C">
        <w:rPr>
          <w:rFonts w:cs="Arial"/>
          <w:sz w:val="20"/>
          <w:szCs w:val="20"/>
        </w:rPr>
        <w:t xml:space="preserve">. Only consultant security administrators, management consultants and WisDOT employees need to complete the CARS Request for Access. Consultant staff members do not need to complete this form, but will need a </w:t>
      </w:r>
      <w:hyperlink r:id="rId29" w:tgtFrame="_blank" w:history="1">
        <w:r w:rsidRPr="00B1686C">
          <w:rPr>
            <w:rStyle w:val="Hyperlink"/>
            <w:rFonts w:cs="Arial"/>
            <w:sz w:val="20"/>
            <w:szCs w:val="20"/>
          </w:rPr>
          <w:t>Wisconsin User ID (WAMS ID)</w:t>
        </w:r>
      </w:hyperlink>
      <w:r w:rsidRPr="00B1686C">
        <w:rPr>
          <w:rFonts w:cs="Arial"/>
          <w:sz w:val="20"/>
          <w:szCs w:val="20"/>
        </w:rPr>
        <w:t xml:space="preserve"> to access CARS.</w:t>
      </w:r>
    </w:p>
    <w:sectPr w:rsidR="00B2691F" w:rsidRPr="00D62EAE" w:rsidSect="00744D60">
      <w:footerReference w:type="default" r:id="rId30"/>
      <w:pgSz w:w="12240" w:h="15840"/>
      <w:pgMar w:top="1152" w:right="1080" w:bottom="1152"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4DAFA" w14:textId="77777777" w:rsidR="00EE01FE" w:rsidRDefault="00EE01FE">
      <w:r>
        <w:separator/>
      </w:r>
    </w:p>
  </w:endnote>
  <w:endnote w:type="continuationSeparator" w:id="0">
    <w:p w14:paraId="39F4A157" w14:textId="77777777" w:rsidR="00EE01FE" w:rsidRDefault="00EE0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3991A" w14:textId="77777777" w:rsidR="005F5E59" w:rsidRPr="00B1686C" w:rsidRDefault="005F5E59" w:rsidP="00245FDD">
    <w:pPr>
      <w:pStyle w:val="Footer"/>
      <w:tabs>
        <w:tab w:val="clear" w:pos="4320"/>
        <w:tab w:val="clear" w:pos="8640"/>
        <w:tab w:val="right" w:pos="9990"/>
      </w:tabs>
      <w:jc w:val="right"/>
      <w:rPr>
        <w:rFonts w:cs="Arial"/>
        <w:iCs/>
        <w:sz w:val="16"/>
        <w:szCs w:val="16"/>
      </w:rPr>
    </w:pPr>
    <w:r w:rsidRPr="00B1686C">
      <w:rPr>
        <w:rFonts w:cs="Arial"/>
        <w:iCs/>
        <w:sz w:val="16"/>
        <w:szCs w:val="16"/>
      </w:rPr>
      <w:t xml:space="preserve">Page </w:t>
    </w:r>
    <w:r w:rsidR="006C2EFF" w:rsidRPr="00B1686C">
      <w:rPr>
        <w:rFonts w:cs="Arial"/>
        <w:iCs/>
        <w:sz w:val="16"/>
        <w:szCs w:val="16"/>
      </w:rPr>
      <w:fldChar w:fldCharType="begin"/>
    </w:r>
    <w:r w:rsidRPr="00B1686C">
      <w:rPr>
        <w:rFonts w:cs="Arial"/>
        <w:iCs/>
        <w:sz w:val="16"/>
        <w:szCs w:val="16"/>
      </w:rPr>
      <w:instrText xml:space="preserve"> PAGE </w:instrText>
    </w:r>
    <w:r w:rsidR="006C2EFF" w:rsidRPr="00B1686C">
      <w:rPr>
        <w:rFonts w:cs="Arial"/>
        <w:iCs/>
        <w:sz w:val="16"/>
        <w:szCs w:val="16"/>
      </w:rPr>
      <w:fldChar w:fldCharType="separate"/>
    </w:r>
    <w:r w:rsidR="00B6672E">
      <w:rPr>
        <w:rFonts w:cs="Arial"/>
        <w:iCs/>
        <w:noProof/>
        <w:sz w:val="16"/>
        <w:szCs w:val="16"/>
      </w:rPr>
      <w:t>3</w:t>
    </w:r>
    <w:r w:rsidR="006C2EFF" w:rsidRPr="00B1686C">
      <w:rPr>
        <w:rFonts w:cs="Arial"/>
        <w:iCs/>
        <w:sz w:val="16"/>
        <w:szCs w:val="16"/>
      </w:rPr>
      <w:fldChar w:fldCharType="end"/>
    </w:r>
    <w:r w:rsidRPr="00B1686C">
      <w:rPr>
        <w:rFonts w:cs="Arial"/>
        <w:iCs/>
        <w:sz w:val="16"/>
        <w:szCs w:val="16"/>
      </w:rPr>
      <w:t xml:space="preserve"> of </w:t>
    </w:r>
    <w:r w:rsidR="006C2EFF" w:rsidRPr="00B1686C">
      <w:rPr>
        <w:rFonts w:cs="Arial"/>
        <w:iCs/>
        <w:sz w:val="16"/>
        <w:szCs w:val="16"/>
      </w:rPr>
      <w:fldChar w:fldCharType="begin"/>
    </w:r>
    <w:r w:rsidRPr="00B1686C">
      <w:rPr>
        <w:rFonts w:cs="Arial"/>
        <w:iCs/>
        <w:sz w:val="16"/>
        <w:szCs w:val="16"/>
      </w:rPr>
      <w:instrText xml:space="preserve"> NUMPAGES </w:instrText>
    </w:r>
    <w:r w:rsidR="006C2EFF" w:rsidRPr="00B1686C">
      <w:rPr>
        <w:rFonts w:cs="Arial"/>
        <w:iCs/>
        <w:sz w:val="16"/>
        <w:szCs w:val="16"/>
      </w:rPr>
      <w:fldChar w:fldCharType="separate"/>
    </w:r>
    <w:r w:rsidR="00B6672E">
      <w:rPr>
        <w:rFonts w:cs="Arial"/>
        <w:iCs/>
        <w:noProof/>
        <w:sz w:val="16"/>
        <w:szCs w:val="16"/>
      </w:rPr>
      <w:t>3</w:t>
    </w:r>
    <w:r w:rsidR="006C2EFF" w:rsidRPr="00B1686C">
      <w:rPr>
        <w:rFonts w:cs="Arial"/>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DDD51" w14:textId="77777777" w:rsidR="00EE01FE" w:rsidRDefault="00EE01FE">
      <w:r>
        <w:separator/>
      </w:r>
    </w:p>
  </w:footnote>
  <w:footnote w:type="continuationSeparator" w:id="0">
    <w:p w14:paraId="6692197B" w14:textId="77777777" w:rsidR="00EE01FE" w:rsidRDefault="00EE0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25902"/>
    <w:multiLevelType w:val="hybridMultilevel"/>
    <w:tmpl w:val="DEFA9610"/>
    <w:lvl w:ilvl="0" w:tplc="9FAE48C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924054"/>
    <w:multiLevelType w:val="singleLevel"/>
    <w:tmpl w:val="0B4E1A10"/>
    <w:lvl w:ilvl="0">
      <w:start w:val="1"/>
      <w:numFmt w:val="lowerLetter"/>
      <w:lvlText w:val="(%1)"/>
      <w:legacy w:legacy="1" w:legacySpace="120" w:legacyIndent="390"/>
      <w:lvlJc w:val="left"/>
      <w:pPr>
        <w:ind w:left="2370" w:hanging="390"/>
      </w:pPr>
    </w:lvl>
  </w:abstractNum>
  <w:abstractNum w:abstractNumId="2" w15:restartNumberingAfterBreak="0">
    <w:nsid w:val="24981775"/>
    <w:multiLevelType w:val="hybridMultilevel"/>
    <w:tmpl w:val="185E4C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4BD1BB0"/>
    <w:multiLevelType w:val="hybridMultilevel"/>
    <w:tmpl w:val="4DC4E38E"/>
    <w:lvl w:ilvl="0" w:tplc="9FAE48C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5D2ED9"/>
    <w:multiLevelType w:val="singleLevel"/>
    <w:tmpl w:val="F878B3EA"/>
    <w:lvl w:ilvl="0">
      <w:start w:val="1"/>
      <w:numFmt w:val="decimal"/>
      <w:lvlText w:val="(%1) "/>
      <w:legacy w:legacy="1" w:legacySpace="0" w:legacyIndent="360"/>
      <w:lvlJc w:val="left"/>
      <w:pPr>
        <w:ind w:left="360" w:hanging="360"/>
      </w:pPr>
      <w:rPr>
        <w:rFonts w:ascii="CG Times (W1)" w:hAnsi="CG Times (W1)" w:hint="default"/>
        <w:b w:val="0"/>
        <w:i w:val="0"/>
        <w:sz w:val="24"/>
      </w:rPr>
    </w:lvl>
  </w:abstractNum>
  <w:abstractNum w:abstractNumId="5" w15:restartNumberingAfterBreak="0">
    <w:nsid w:val="66657251"/>
    <w:multiLevelType w:val="singleLevel"/>
    <w:tmpl w:val="DFE2A2BA"/>
    <w:lvl w:ilvl="0">
      <w:start w:val="8"/>
      <w:numFmt w:val="decimal"/>
      <w:lvlText w:val="(%1)"/>
      <w:legacy w:legacy="1" w:legacySpace="120" w:legacyIndent="360"/>
      <w:lvlJc w:val="left"/>
      <w:pPr>
        <w:ind w:left="360" w:hanging="360"/>
      </w:pPr>
    </w:lvl>
  </w:abstractNum>
  <w:num w:numId="1">
    <w:abstractNumId w:val="4"/>
  </w:num>
  <w:num w:numId="2">
    <w:abstractNumId w:val="5"/>
  </w:num>
  <w:num w:numId="3">
    <w:abstractNumId w:val="1"/>
  </w:num>
  <w:num w:numId="4">
    <w:abstractNumId w:val="3"/>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HyphenateCaps/>
  <w:drawingGridHorizontalSpacing w:val="120"/>
  <w:drawingGridVerticalSpacing w:val="120"/>
  <w:displayHorizontalDrawingGridEvery w:val="2"/>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30C"/>
    <w:rsid w:val="0000023B"/>
    <w:rsid w:val="00002CA1"/>
    <w:rsid w:val="00002F02"/>
    <w:rsid w:val="00022254"/>
    <w:rsid w:val="000239AA"/>
    <w:rsid w:val="000248A7"/>
    <w:rsid w:val="000256AE"/>
    <w:rsid w:val="000306EF"/>
    <w:rsid w:val="00030E47"/>
    <w:rsid w:val="0003190B"/>
    <w:rsid w:val="00042DB0"/>
    <w:rsid w:val="000443EB"/>
    <w:rsid w:val="00045467"/>
    <w:rsid w:val="000623BF"/>
    <w:rsid w:val="000636B9"/>
    <w:rsid w:val="0006766D"/>
    <w:rsid w:val="00074F19"/>
    <w:rsid w:val="00081F5B"/>
    <w:rsid w:val="00082560"/>
    <w:rsid w:val="00092B13"/>
    <w:rsid w:val="00095DA9"/>
    <w:rsid w:val="000B1178"/>
    <w:rsid w:val="000B13A6"/>
    <w:rsid w:val="000B57C3"/>
    <w:rsid w:val="000B6C9B"/>
    <w:rsid w:val="000C3F76"/>
    <w:rsid w:val="000D0BB8"/>
    <w:rsid w:val="000E2190"/>
    <w:rsid w:val="000F13D5"/>
    <w:rsid w:val="000F26E3"/>
    <w:rsid w:val="00112D8D"/>
    <w:rsid w:val="0011488D"/>
    <w:rsid w:val="0012012C"/>
    <w:rsid w:val="001259EF"/>
    <w:rsid w:val="00125C62"/>
    <w:rsid w:val="00130DB0"/>
    <w:rsid w:val="0014481C"/>
    <w:rsid w:val="00147301"/>
    <w:rsid w:val="00152391"/>
    <w:rsid w:val="001524F0"/>
    <w:rsid w:val="00155188"/>
    <w:rsid w:val="00162868"/>
    <w:rsid w:val="0017764A"/>
    <w:rsid w:val="00195FEE"/>
    <w:rsid w:val="001A022A"/>
    <w:rsid w:val="001A22D9"/>
    <w:rsid w:val="001A6B9F"/>
    <w:rsid w:val="001B0A5F"/>
    <w:rsid w:val="001B268A"/>
    <w:rsid w:val="001C110D"/>
    <w:rsid w:val="001C3D1D"/>
    <w:rsid w:val="001C413E"/>
    <w:rsid w:val="001D490F"/>
    <w:rsid w:val="001F0872"/>
    <w:rsid w:val="002009B4"/>
    <w:rsid w:val="002111DC"/>
    <w:rsid w:val="00212AC9"/>
    <w:rsid w:val="002237E2"/>
    <w:rsid w:val="00224A9D"/>
    <w:rsid w:val="0023229C"/>
    <w:rsid w:val="002437DB"/>
    <w:rsid w:val="00245FDD"/>
    <w:rsid w:val="00250095"/>
    <w:rsid w:val="002533D5"/>
    <w:rsid w:val="00255412"/>
    <w:rsid w:val="00260DFE"/>
    <w:rsid w:val="0026317D"/>
    <w:rsid w:val="00263E9C"/>
    <w:rsid w:val="0026497E"/>
    <w:rsid w:val="00266FE6"/>
    <w:rsid w:val="00282295"/>
    <w:rsid w:val="00283487"/>
    <w:rsid w:val="00284107"/>
    <w:rsid w:val="002869B6"/>
    <w:rsid w:val="00291C31"/>
    <w:rsid w:val="00293C3F"/>
    <w:rsid w:val="00294317"/>
    <w:rsid w:val="00295965"/>
    <w:rsid w:val="002B22C5"/>
    <w:rsid w:val="002C186C"/>
    <w:rsid w:val="002D698E"/>
    <w:rsid w:val="002D7E70"/>
    <w:rsid w:val="002E6232"/>
    <w:rsid w:val="002E6D93"/>
    <w:rsid w:val="002E7889"/>
    <w:rsid w:val="002F18AF"/>
    <w:rsid w:val="002F1FA0"/>
    <w:rsid w:val="002F3D2E"/>
    <w:rsid w:val="002F3E38"/>
    <w:rsid w:val="002F7E57"/>
    <w:rsid w:val="0031597D"/>
    <w:rsid w:val="003250A4"/>
    <w:rsid w:val="003424EF"/>
    <w:rsid w:val="00343ADB"/>
    <w:rsid w:val="0035643A"/>
    <w:rsid w:val="0036324C"/>
    <w:rsid w:val="003644B6"/>
    <w:rsid w:val="003667C6"/>
    <w:rsid w:val="00372651"/>
    <w:rsid w:val="00376462"/>
    <w:rsid w:val="00376C92"/>
    <w:rsid w:val="003853A7"/>
    <w:rsid w:val="00386019"/>
    <w:rsid w:val="00394BC9"/>
    <w:rsid w:val="003967B7"/>
    <w:rsid w:val="003A3D1D"/>
    <w:rsid w:val="003B0BE9"/>
    <w:rsid w:val="003B3516"/>
    <w:rsid w:val="003E36A4"/>
    <w:rsid w:val="003E52E6"/>
    <w:rsid w:val="003E6B02"/>
    <w:rsid w:val="003F0539"/>
    <w:rsid w:val="003F163E"/>
    <w:rsid w:val="003F7924"/>
    <w:rsid w:val="00400DE3"/>
    <w:rsid w:val="0040397D"/>
    <w:rsid w:val="004163DC"/>
    <w:rsid w:val="00421720"/>
    <w:rsid w:val="00421D39"/>
    <w:rsid w:val="00423C97"/>
    <w:rsid w:val="00435697"/>
    <w:rsid w:val="004402E7"/>
    <w:rsid w:val="0044353C"/>
    <w:rsid w:val="004463B6"/>
    <w:rsid w:val="00472E63"/>
    <w:rsid w:val="00476FE6"/>
    <w:rsid w:val="00482076"/>
    <w:rsid w:val="004965FF"/>
    <w:rsid w:val="00496C28"/>
    <w:rsid w:val="004A074D"/>
    <w:rsid w:val="004B1C43"/>
    <w:rsid w:val="004B41B9"/>
    <w:rsid w:val="004B5516"/>
    <w:rsid w:val="004C0AB4"/>
    <w:rsid w:val="004C4EBB"/>
    <w:rsid w:val="004C53B3"/>
    <w:rsid w:val="004D54F0"/>
    <w:rsid w:val="004D797D"/>
    <w:rsid w:val="004E1031"/>
    <w:rsid w:val="004E6B03"/>
    <w:rsid w:val="004F177F"/>
    <w:rsid w:val="00504BCA"/>
    <w:rsid w:val="0052108E"/>
    <w:rsid w:val="0052269A"/>
    <w:rsid w:val="00527578"/>
    <w:rsid w:val="005461DC"/>
    <w:rsid w:val="00546415"/>
    <w:rsid w:val="0055080B"/>
    <w:rsid w:val="00556C62"/>
    <w:rsid w:val="00560F82"/>
    <w:rsid w:val="005657A9"/>
    <w:rsid w:val="00567C5C"/>
    <w:rsid w:val="0057243F"/>
    <w:rsid w:val="0057644F"/>
    <w:rsid w:val="00580082"/>
    <w:rsid w:val="00591638"/>
    <w:rsid w:val="00591F8A"/>
    <w:rsid w:val="00594A00"/>
    <w:rsid w:val="005A5CDA"/>
    <w:rsid w:val="005C26A7"/>
    <w:rsid w:val="005E17DC"/>
    <w:rsid w:val="005E18A7"/>
    <w:rsid w:val="005E3F7D"/>
    <w:rsid w:val="005E4314"/>
    <w:rsid w:val="005F2587"/>
    <w:rsid w:val="005F5E59"/>
    <w:rsid w:val="006043E5"/>
    <w:rsid w:val="00604A6C"/>
    <w:rsid w:val="00606BB5"/>
    <w:rsid w:val="00610464"/>
    <w:rsid w:val="0061215E"/>
    <w:rsid w:val="00613F23"/>
    <w:rsid w:val="00617897"/>
    <w:rsid w:val="006238A9"/>
    <w:rsid w:val="00625090"/>
    <w:rsid w:val="0062791F"/>
    <w:rsid w:val="00637ED5"/>
    <w:rsid w:val="00643731"/>
    <w:rsid w:val="00661723"/>
    <w:rsid w:val="006635D5"/>
    <w:rsid w:val="00664FCC"/>
    <w:rsid w:val="00666E46"/>
    <w:rsid w:val="006677E1"/>
    <w:rsid w:val="00670B5B"/>
    <w:rsid w:val="00684538"/>
    <w:rsid w:val="00684A65"/>
    <w:rsid w:val="00684B96"/>
    <w:rsid w:val="0069195C"/>
    <w:rsid w:val="006A10BD"/>
    <w:rsid w:val="006A330C"/>
    <w:rsid w:val="006A7F70"/>
    <w:rsid w:val="006B21AA"/>
    <w:rsid w:val="006B579A"/>
    <w:rsid w:val="006C2EFF"/>
    <w:rsid w:val="006D48E2"/>
    <w:rsid w:val="006E0CE5"/>
    <w:rsid w:val="006E2CF9"/>
    <w:rsid w:val="006E7112"/>
    <w:rsid w:val="006F13E8"/>
    <w:rsid w:val="006F390A"/>
    <w:rsid w:val="0072476D"/>
    <w:rsid w:val="00732BED"/>
    <w:rsid w:val="007353A9"/>
    <w:rsid w:val="00741892"/>
    <w:rsid w:val="00744D60"/>
    <w:rsid w:val="00752E54"/>
    <w:rsid w:val="0076029B"/>
    <w:rsid w:val="0076100E"/>
    <w:rsid w:val="00785AA7"/>
    <w:rsid w:val="0078642D"/>
    <w:rsid w:val="00786977"/>
    <w:rsid w:val="007A03AA"/>
    <w:rsid w:val="007A462D"/>
    <w:rsid w:val="007A4839"/>
    <w:rsid w:val="007A7FAF"/>
    <w:rsid w:val="007B0878"/>
    <w:rsid w:val="007B1541"/>
    <w:rsid w:val="007C04DD"/>
    <w:rsid w:val="007C26F1"/>
    <w:rsid w:val="007C5A97"/>
    <w:rsid w:val="007C7A82"/>
    <w:rsid w:val="007E319D"/>
    <w:rsid w:val="007E562C"/>
    <w:rsid w:val="007F14FA"/>
    <w:rsid w:val="008026A2"/>
    <w:rsid w:val="0081489A"/>
    <w:rsid w:val="008324D1"/>
    <w:rsid w:val="008328F1"/>
    <w:rsid w:val="00832C72"/>
    <w:rsid w:val="008411F1"/>
    <w:rsid w:val="00841999"/>
    <w:rsid w:val="00842E69"/>
    <w:rsid w:val="00845AFF"/>
    <w:rsid w:val="00846A0D"/>
    <w:rsid w:val="00852040"/>
    <w:rsid w:val="00856B49"/>
    <w:rsid w:val="008614A7"/>
    <w:rsid w:val="008677F0"/>
    <w:rsid w:val="00884787"/>
    <w:rsid w:val="008924CA"/>
    <w:rsid w:val="00895B96"/>
    <w:rsid w:val="008A38A9"/>
    <w:rsid w:val="008A3D3A"/>
    <w:rsid w:val="008A547C"/>
    <w:rsid w:val="008B4F05"/>
    <w:rsid w:val="008D29F4"/>
    <w:rsid w:val="008E4742"/>
    <w:rsid w:val="008F0FD4"/>
    <w:rsid w:val="00910AC7"/>
    <w:rsid w:val="009116C7"/>
    <w:rsid w:val="00916D45"/>
    <w:rsid w:val="00930382"/>
    <w:rsid w:val="00937A57"/>
    <w:rsid w:val="009437FB"/>
    <w:rsid w:val="00947AD2"/>
    <w:rsid w:val="00951990"/>
    <w:rsid w:val="0096376C"/>
    <w:rsid w:val="00965DE7"/>
    <w:rsid w:val="00966F1F"/>
    <w:rsid w:val="00970242"/>
    <w:rsid w:val="00974B8D"/>
    <w:rsid w:val="00974F71"/>
    <w:rsid w:val="009948AF"/>
    <w:rsid w:val="009A2815"/>
    <w:rsid w:val="009A2E77"/>
    <w:rsid w:val="009A3A42"/>
    <w:rsid w:val="009B38CE"/>
    <w:rsid w:val="009D08D3"/>
    <w:rsid w:val="009D6654"/>
    <w:rsid w:val="009E130A"/>
    <w:rsid w:val="009F3578"/>
    <w:rsid w:val="009F508A"/>
    <w:rsid w:val="00A017B7"/>
    <w:rsid w:val="00A035D6"/>
    <w:rsid w:val="00A15617"/>
    <w:rsid w:val="00A2407C"/>
    <w:rsid w:val="00A2573C"/>
    <w:rsid w:val="00A25F3C"/>
    <w:rsid w:val="00A463E9"/>
    <w:rsid w:val="00A50058"/>
    <w:rsid w:val="00A509E8"/>
    <w:rsid w:val="00A522BD"/>
    <w:rsid w:val="00A533D1"/>
    <w:rsid w:val="00A55C73"/>
    <w:rsid w:val="00A57DF4"/>
    <w:rsid w:val="00A63197"/>
    <w:rsid w:val="00A72F47"/>
    <w:rsid w:val="00A751A9"/>
    <w:rsid w:val="00A77DCD"/>
    <w:rsid w:val="00A872F4"/>
    <w:rsid w:val="00A972CA"/>
    <w:rsid w:val="00AA1EA6"/>
    <w:rsid w:val="00AB2DF2"/>
    <w:rsid w:val="00AB3F60"/>
    <w:rsid w:val="00AC101B"/>
    <w:rsid w:val="00AC40C3"/>
    <w:rsid w:val="00AC41E4"/>
    <w:rsid w:val="00AC4E99"/>
    <w:rsid w:val="00AC5BA7"/>
    <w:rsid w:val="00AD063D"/>
    <w:rsid w:val="00AD2C93"/>
    <w:rsid w:val="00AE5373"/>
    <w:rsid w:val="00AE7CB9"/>
    <w:rsid w:val="00B008EA"/>
    <w:rsid w:val="00B047F5"/>
    <w:rsid w:val="00B14167"/>
    <w:rsid w:val="00B1686C"/>
    <w:rsid w:val="00B23FAB"/>
    <w:rsid w:val="00B2691F"/>
    <w:rsid w:val="00B30243"/>
    <w:rsid w:val="00B31E1A"/>
    <w:rsid w:val="00B4024B"/>
    <w:rsid w:val="00B46703"/>
    <w:rsid w:val="00B51D19"/>
    <w:rsid w:val="00B52C54"/>
    <w:rsid w:val="00B63D66"/>
    <w:rsid w:val="00B6672E"/>
    <w:rsid w:val="00B73293"/>
    <w:rsid w:val="00B86F4C"/>
    <w:rsid w:val="00B924FE"/>
    <w:rsid w:val="00BA27B7"/>
    <w:rsid w:val="00BA3926"/>
    <w:rsid w:val="00BA5713"/>
    <w:rsid w:val="00BB010D"/>
    <w:rsid w:val="00BB12F3"/>
    <w:rsid w:val="00BB64B0"/>
    <w:rsid w:val="00BB6F1E"/>
    <w:rsid w:val="00BC2B09"/>
    <w:rsid w:val="00BD7217"/>
    <w:rsid w:val="00BE2324"/>
    <w:rsid w:val="00BE66DB"/>
    <w:rsid w:val="00BF6069"/>
    <w:rsid w:val="00C01591"/>
    <w:rsid w:val="00C04575"/>
    <w:rsid w:val="00C13B99"/>
    <w:rsid w:val="00C20332"/>
    <w:rsid w:val="00C35D54"/>
    <w:rsid w:val="00C46BC0"/>
    <w:rsid w:val="00C54EA6"/>
    <w:rsid w:val="00C5635D"/>
    <w:rsid w:val="00C60333"/>
    <w:rsid w:val="00C726BC"/>
    <w:rsid w:val="00C72F70"/>
    <w:rsid w:val="00C902A7"/>
    <w:rsid w:val="00CA10DE"/>
    <w:rsid w:val="00CA3ED1"/>
    <w:rsid w:val="00CB0EF7"/>
    <w:rsid w:val="00CB66B5"/>
    <w:rsid w:val="00CB75F6"/>
    <w:rsid w:val="00CC19DA"/>
    <w:rsid w:val="00CC1BC5"/>
    <w:rsid w:val="00CF008E"/>
    <w:rsid w:val="00CF0733"/>
    <w:rsid w:val="00D00E8B"/>
    <w:rsid w:val="00D02FEE"/>
    <w:rsid w:val="00D0358C"/>
    <w:rsid w:val="00D03E3C"/>
    <w:rsid w:val="00D07FCE"/>
    <w:rsid w:val="00D13F0C"/>
    <w:rsid w:val="00D17FEE"/>
    <w:rsid w:val="00D22E4A"/>
    <w:rsid w:val="00D257CE"/>
    <w:rsid w:val="00D368B6"/>
    <w:rsid w:val="00D53D36"/>
    <w:rsid w:val="00D569AB"/>
    <w:rsid w:val="00D66807"/>
    <w:rsid w:val="00D71329"/>
    <w:rsid w:val="00D86241"/>
    <w:rsid w:val="00D878DD"/>
    <w:rsid w:val="00D973AB"/>
    <w:rsid w:val="00DA4B74"/>
    <w:rsid w:val="00DD3232"/>
    <w:rsid w:val="00DD3EFB"/>
    <w:rsid w:val="00DE3986"/>
    <w:rsid w:val="00DE3DA9"/>
    <w:rsid w:val="00DE60A2"/>
    <w:rsid w:val="00E008BA"/>
    <w:rsid w:val="00E06DE5"/>
    <w:rsid w:val="00E07365"/>
    <w:rsid w:val="00E329EA"/>
    <w:rsid w:val="00E43FEC"/>
    <w:rsid w:val="00E45B86"/>
    <w:rsid w:val="00E533FB"/>
    <w:rsid w:val="00E61FC1"/>
    <w:rsid w:val="00E63DCF"/>
    <w:rsid w:val="00E9164F"/>
    <w:rsid w:val="00E94C3A"/>
    <w:rsid w:val="00EA290F"/>
    <w:rsid w:val="00EA67B1"/>
    <w:rsid w:val="00EB1232"/>
    <w:rsid w:val="00EC2A7F"/>
    <w:rsid w:val="00EC53CF"/>
    <w:rsid w:val="00EC54C0"/>
    <w:rsid w:val="00EE01FE"/>
    <w:rsid w:val="00EE2048"/>
    <w:rsid w:val="00EF013C"/>
    <w:rsid w:val="00EF6CAE"/>
    <w:rsid w:val="00F1037E"/>
    <w:rsid w:val="00F12E0E"/>
    <w:rsid w:val="00F143F5"/>
    <w:rsid w:val="00F33812"/>
    <w:rsid w:val="00F3442A"/>
    <w:rsid w:val="00F35185"/>
    <w:rsid w:val="00F40D47"/>
    <w:rsid w:val="00F4379D"/>
    <w:rsid w:val="00F43B4A"/>
    <w:rsid w:val="00F43F15"/>
    <w:rsid w:val="00F51143"/>
    <w:rsid w:val="00F906F6"/>
    <w:rsid w:val="00F91150"/>
    <w:rsid w:val="00F9181A"/>
    <w:rsid w:val="00F9293F"/>
    <w:rsid w:val="00FA6859"/>
    <w:rsid w:val="00FB0E31"/>
    <w:rsid w:val="00FB14AD"/>
    <w:rsid w:val="00FB5D72"/>
    <w:rsid w:val="00FB79BE"/>
    <w:rsid w:val="00FD584D"/>
    <w:rsid w:val="00FE1F5E"/>
    <w:rsid w:val="00FE66FB"/>
    <w:rsid w:val="00FF0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C398C5"/>
  <w15:docId w15:val="{E3D5E605-2F7E-4922-A166-B666C400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CB9"/>
    <w:rPr>
      <w:rFonts w:ascii="Arial" w:hAnsi="Arial"/>
      <w:sz w:val="24"/>
      <w:szCs w:val="24"/>
    </w:rPr>
  </w:style>
  <w:style w:type="paragraph" w:styleId="Heading1">
    <w:name w:val="heading 1"/>
    <w:basedOn w:val="Normal"/>
    <w:next w:val="Normal"/>
    <w:qFormat/>
    <w:rsid w:val="00AE7CB9"/>
    <w:pPr>
      <w:keepNext/>
      <w:tabs>
        <w:tab w:val="left" w:pos="-720"/>
      </w:tabs>
      <w:suppressAutoHyphens/>
      <w:jc w:val="both"/>
      <w:outlineLvl w:val="0"/>
    </w:pPr>
    <w:rPr>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AE7CB9"/>
    <w:pPr>
      <w:tabs>
        <w:tab w:val="left" w:pos="-720"/>
        <w:tab w:val="left" w:pos="0"/>
      </w:tabs>
      <w:suppressAutoHyphens/>
      <w:ind w:left="720" w:hanging="720"/>
      <w:jc w:val="both"/>
    </w:pPr>
    <w:rPr>
      <w:spacing w:val="-3"/>
      <w:sz w:val="22"/>
    </w:rPr>
  </w:style>
  <w:style w:type="paragraph" w:styleId="BodyTextIndent2">
    <w:name w:val="Body Text Indent 2"/>
    <w:basedOn w:val="Normal"/>
    <w:link w:val="BodyTextIndent2Char"/>
    <w:semiHidden/>
    <w:rsid w:val="00AE7CB9"/>
    <w:pPr>
      <w:tabs>
        <w:tab w:val="left" w:pos="-720"/>
        <w:tab w:val="left" w:pos="0"/>
      </w:tabs>
      <w:suppressAutoHyphens/>
      <w:ind w:left="1440" w:hanging="720"/>
    </w:pPr>
    <w:rPr>
      <w:spacing w:val="-3"/>
      <w:sz w:val="22"/>
    </w:rPr>
  </w:style>
  <w:style w:type="paragraph" w:styleId="BodyTextIndent3">
    <w:name w:val="Body Text Indent 3"/>
    <w:basedOn w:val="Normal"/>
    <w:semiHidden/>
    <w:rsid w:val="00AE7CB9"/>
    <w:pPr>
      <w:tabs>
        <w:tab w:val="left" w:pos="-720"/>
        <w:tab w:val="left" w:pos="0"/>
        <w:tab w:val="left" w:pos="720"/>
        <w:tab w:val="left" w:pos="2160"/>
      </w:tabs>
      <w:suppressAutoHyphens/>
      <w:ind w:left="1440" w:hanging="1440"/>
    </w:pPr>
    <w:rPr>
      <w:spacing w:val="-3"/>
      <w:sz w:val="22"/>
    </w:rPr>
  </w:style>
  <w:style w:type="paragraph" w:styleId="BodyText">
    <w:name w:val="Body Text"/>
    <w:basedOn w:val="Normal"/>
    <w:semiHidden/>
    <w:rsid w:val="00AE7CB9"/>
    <w:pPr>
      <w:tabs>
        <w:tab w:val="left" w:pos="-720"/>
      </w:tabs>
      <w:suppressAutoHyphens/>
    </w:pPr>
    <w:rPr>
      <w:spacing w:val="-3"/>
      <w:sz w:val="22"/>
    </w:rPr>
  </w:style>
  <w:style w:type="paragraph" w:styleId="Header">
    <w:name w:val="header"/>
    <w:basedOn w:val="Normal"/>
    <w:semiHidden/>
    <w:rsid w:val="00AE7CB9"/>
    <w:pPr>
      <w:tabs>
        <w:tab w:val="center" w:pos="4320"/>
        <w:tab w:val="right" w:pos="8640"/>
      </w:tabs>
    </w:pPr>
  </w:style>
  <w:style w:type="paragraph" w:styleId="Footer">
    <w:name w:val="footer"/>
    <w:basedOn w:val="Normal"/>
    <w:semiHidden/>
    <w:rsid w:val="00AE7CB9"/>
    <w:pPr>
      <w:tabs>
        <w:tab w:val="center" w:pos="4320"/>
        <w:tab w:val="right" w:pos="8640"/>
      </w:tabs>
    </w:pPr>
  </w:style>
  <w:style w:type="character" w:styleId="PageNumber">
    <w:name w:val="page number"/>
    <w:basedOn w:val="DefaultParagraphFont"/>
    <w:semiHidden/>
    <w:rsid w:val="00AE7CB9"/>
  </w:style>
  <w:style w:type="paragraph" w:customStyle="1" w:styleId="fdAttachment">
    <w:name w:val="fdAttachment"/>
    <w:basedOn w:val="Normal"/>
    <w:rsid w:val="00AE7CB9"/>
    <w:pPr>
      <w:widowControl w:val="0"/>
      <w:tabs>
        <w:tab w:val="left" w:pos="720"/>
        <w:tab w:val="right" w:pos="2448"/>
      </w:tabs>
      <w:spacing w:before="60" w:after="60"/>
      <w:ind w:left="2160" w:hanging="2160"/>
    </w:pPr>
    <w:rPr>
      <w:sz w:val="20"/>
      <w:szCs w:val="20"/>
    </w:rPr>
  </w:style>
  <w:style w:type="character" w:customStyle="1" w:styleId="fdFutureLink">
    <w:name w:val="fdFutureLink"/>
    <w:basedOn w:val="DefaultParagraphFont"/>
    <w:rsid w:val="00AE7CB9"/>
    <w:rPr>
      <w:color w:val="008000"/>
      <w:u w:val="single"/>
    </w:rPr>
  </w:style>
  <w:style w:type="paragraph" w:customStyle="1" w:styleId="fdFigureCaption">
    <w:name w:val="fdFigureCaption"/>
    <w:basedOn w:val="Normal"/>
    <w:rsid w:val="00AE7CB9"/>
    <w:pPr>
      <w:jc w:val="center"/>
    </w:pPr>
    <w:rPr>
      <w:b/>
      <w:i/>
    </w:rPr>
  </w:style>
  <w:style w:type="paragraph" w:customStyle="1" w:styleId="fdTitleAttachment">
    <w:name w:val="fdTitleAttachment"/>
    <w:next w:val="Normal"/>
    <w:rsid w:val="00AE7CB9"/>
    <w:rPr>
      <w:rFonts w:ascii="Arial" w:hAnsi="Arial"/>
      <w:color w:val="FF0000"/>
      <w:sz w:val="16"/>
    </w:rPr>
  </w:style>
  <w:style w:type="paragraph" w:customStyle="1" w:styleId="fdAttachmentTitle">
    <w:name w:val="fdAttachmentTitle"/>
    <w:basedOn w:val="Normal"/>
    <w:rsid w:val="00AE7CB9"/>
    <w:pPr>
      <w:widowControl w:val="0"/>
      <w:tabs>
        <w:tab w:val="right" w:pos="792"/>
        <w:tab w:val="left" w:pos="864"/>
        <w:tab w:val="left" w:pos="1800"/>
      </w:tabs>
      <w:spacing w:before="240" w:after="60"/>
      <w:ind w:left="864" w:hanging="864"/>
    </w:pPr>
    <w:rPr>
      <w:b/>
      <w:bCs/>
      <w:caps/>
      <w:sz w:val="20"/>
      <w:szCs w:val="20"/>
      <w:u w:val="single"/>
    </w:rPr>
  </w:style>
  <w:style w:type="paragraph" w:customStyle="1" w:styleId="fdBase">
    <w:name w:val="fdBase"/>
    <w:rsid w:val="00AE7CB9"/>
    <w:pPr>
      <w:widowControl w:val="0"/>
      <w:spacing w:before="60" w:after="60"/>
    </w:pPr>
    <w:rPr>
      <w:rFonts w:ascii="Arial" w:hAnsi="Arial"/>
    </w:rPr>
  </w:style>
  <w:style w:type="paragraph" w:customStyle="1" w:styleId="fdHeader">
    <w:name w:val="fdHeader"/>
    <w:basedOn w:val="fdBase"/>
    <w:rsid w:val="00AE7CB9"/>
    <w:pPr>
      <w:pBdr>
        <w:bottom w:val="single" w:sz="4" w:space="1" w:color="auto"/>
      </w:pBdr>
    </w:pPr>
    <w:rPr>
      <w:i/>
    </w:rPr>
  </w:style>
  <w:style w:type="paragraph" w:customStyle="1" w:styleId="fdFooter">
    <w:name w:val="fdFooter"/>
    <w:basedOn w:val="fdBase"/>
    <w:rsid w:val="00AE7CB9"/>
    <w:pPr>
      <w:pBdr>
        <w:top w:val="single" w:sz="4" w:space="1" w:color="auto"/>
      </w:pBdr>
    </w:pPr>
    <w:rPr>
      <w:i/>
    </w:rPr>
  </w:style>
  <w:style w:type="paragraph" w:customStyle="1" w:styleId="fdTitleBlock1">
    <w:name w:val="fdTitleBlock1"/>
    <w:next w:val="fdTitleBlock2"/>
    <w:rsid w:val="000636B9"/>
    <w:pPr>
      <w:widowControl w:val="0"/>
      <w:pBdr>
        <w:top w:val="single" w:sz="2" w:space="4" w:color="000080"/>
        <w:left w:val="single" w:sz="2" w:space="0" w:color="000080"/>
        <w:bottom w:val="single" w:sz="2" w:space="4" w:color="000080"/>
        <w:right w:val="single" w:sz="2" w:space="2" w:color="000080"/>
      </w:pBdr>
      <w:shd w:val="clear" w:color="auto" w:fill="F3F3F3"/>
      <w:tabs>
        <w:tab w:val="left" w:pos="1080"/>
        <w:tab w:val="right" w:pos="9720"/>
      </w:tabs>
      <w:spacing w:after="40"/>
      <w:ind w:left="1080" w:hanging="1080"/>
      <w:outlineLvl w:val="0"/>
    </w:pPr>
    <w:rPr>
      <w:rFonts w:ascii="Arial" w:hAnsi="Arial"/>
      <w:b/>
      <w:i/>
      <w:color w:val="000080"/>
      <w:sz w:val="28"/>
      <w:shd w:val="clear" w:color="auto" w:fill="F3F3F3"/>
    </w:rPr>
  </w:style>
  <w:style w:type="paragraph" w:customStyle="1" w:styleId="fdTitleBlock2">
    <w:name w:val="fdTitleBlock2"/>
    <w:basedOn w:val="fdTitleBlock1"/>
    <w:rsid w:val="000636B9"/>
    <w:pPr>
      <w:tabs>
        <w:tab w:val="clear" w:pos="1080"/>
        <w:tab w:val="right" w:pos="2160"/>
        <w:tab w:val="left" w:pos="2232"/>
        <w:tab w:val="left" w:pos="2664"/>
      </w:tabs>
      <w:ind w:left="2664" w:hanging="2664"/>
    </w:pPr>
    <w:rPr>
      <w:sz w:val="20"/>
    </w:rPr>
  </w:style>
  <w:style w:type="paragraph" w:customStyle="1" w:styleId="fdProcedure">
    <w:name w:val="fdProcedure"/>
    <w:basedOn w:val="fdBase"/>
    <w:rsid w:val="000636B9"/>
    <w:pPr>
      <w:keepNext/>
      <w:shd w:val="clear" w:color="auto" w:fill="E6E6E6"/>
      <w:tabs>
        <w:tab w:val="right" w:pos="9936"/>
      </w:tabs>
      <w:spacing w:before="240" w:after="120"/>
    </w:pPr>
    <w:rPr>
      <w:b/>
      <w:sz w:val="22"/>
    </w:rPr>
  </w:style>
  <w:style w:type="character" w:customStyle="1" w:styleId="fdProcedureNumber">
    <w:name w:val="fdProcedureNumber"/>
    <w:basedOn w:val="DefaultParagraphFont"/>
    <w:rsid w:val="000636B9"/>
    <w:rPr>
      <w:color w:val="000080"/>
    </w:rPr>
  </w:style>
  <w:style w:type="character" w:customStyle="1" w:styleId="fdExhibitTitle">
    <w:name w:val="fdExhibitTitle"/>
    <w:basedOn w:val="DefaultParagraphFont"/>
    <w:qFormat/>
    <w:rsid w:val="00CB75F6"/>
    <w:rPr>
      <w:iCs/>
      <w:color w:val="1F497D"/>
    </w:rPr>
  </w:style>
  <w:style w:type="character" w:customStyle="1" w:styleId="fdExhibitDate">
    <w:name w:val="fdExhibitDate"/>
    <w:basedOn w:val="DefaultParagraphFont"/>
    <w:rsid w:val="00CB75F6"/>
    <w:rPr>
      <w:color w:val="808080"/>
      <w:spacing w:val="-2"/>
      <w:sz w:val="20"/>
      <w:szCs w:val="20"/>
    </w:rPr>
  </w:style>
  <w:style w:type="table" w:styleId="TableGrid">
    <w:name w:val="Table Grid"/>
    <w:basedOn w:val="TableNormal"/>
    <w:uiPriority w:val="59"/>
    <w:rsid w:val="006238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D0BB8"/>
    <w:pPr>
      <w:ind w:left="720"/>
    </w:pPr>
    <w:rPr>
      <w:rFonts w:ascii="Calibri" w:hAnsi="Calibri"/>
      <w:sz w:val="22"/>
      <w:szCs w:val="22"/>
    </w:rPr>
  </w:style>
  <w:style w:type="character" w:styleId="Hyperlink">
    <w:name w:val="Hyperlink"/>
    <w:basedOn w:val="DefaultParagraphFont"/>
    <w:uiPriority w:val="99"/>
    <w:unhideWhenUsed/>
    <w:rsid w:val="002C186C"/>
    <w:rPr>
      <w:color w:val="0000FF" w:themeColor="hyperlink"/>
      <w:u w:val="single"/>
    </w:rPr>
  </w:style>
  <w:style w:type="character" w:styleId="FollowedHyperlink">
    <w:name w:val="FollowedHyperlink"/>
    <w:basedOn w:val="DefaultParagraphFont"/>
    <w:uiPriority w:val="99"/>
    <w:semiHidden/>
    <w:unhideWhenUsed/>
    <w:rsid w:val="00B31E1A"/>
    <w:rPr>
      <w:color w:val="800080" w:themeColor="followedHyperlink"/>
      <w:u w:val="single"/>
    </w:rPr>
  </w:style>
  <w:style w:type="paragraph" w:styleId="BalloonText">
    <w:name w:val="Balloon Text"/>
    <w:basedOn w:val="Normal"/>
    <w:link w:val="BalloonTextChar"/>
    <w:uiPriority w:val="99"/>
    <w:semiHidden/>
    <w:unhideWhenUsed/>
    <w:rsid w:val="002F18AF"/>
    <w:rPr>
      <w:rFonts w:ascii="Tahoma" w:hAnsi="Tahoma" w:cs="Tahoma"/>
      <w:sz w:val="16"/>
      <w:szCs w:val="16"/>
    </w:rPr>
  </w:style>
  <w:style w:type="character" w:customStyle="1" w:styleId="BalloonTextChar">
    <w:name w:val="Balloon Text Char"/>
    <w:basedOn w:val="DefaultParagraphFont"/>
    <w:link w:val="BalloonText"/>
    <w:uiPriority w:val="99"/>
    <w:semiHidden/>
    <w:rsid w:val="002F18AF"/>
    <w:rPr>
      <w:rFonts w:ascii="Tahoma" w:hAnsi="Tahoma" w:cs="Tahoma"/>
      <w:sz w:val="16"/>
      <w:szCs w:val="16"/>
    </w:rPr>
  </w:style>
  <w:style w:type="paragraph" w:customStyle="1" w:styleId="xl36">
    <w:name w:val="xl36"/>
    <w:basedOn w:val="Normal"/>
    <w:rsid w:val="00D02FEE"/>
    <w:pPr>
      <w:pBdr>
        <w:bottom w:val="single" w:sz="6" w:space="0" w:color="auto"/>
      </w:pBdr>
      <w:overflowPunct w:val="0"/>
      <w:autoSpaceDE w:val="0"/>
      <w:autoSpaceDN w:val="0"/>
      <w:adjustRightInd w:val="0"/>
      <w:spacing w:before="100" w:after="100"/>
      <w:textAlignment w:val="baseline"/>
    </w:pPr>
    <w:rPr>
      <w:b/>
      <w:szCs w:val="20"/>
    </w:rPr>
  </w:style>
  <w:style w:type="character" w:customStyle="1" w:styleId="BodyTextIndent2Char">
    <w:name w:val="Body Text Indent 2 Char"/>
    <w:basedOn w:val="DefaultParagraphFont"/>
    <w:link w:val="BodyTextIndent2"/>
    <w:semiHidden/>
    <w:rsid w:val="00D22E4A"/>
    <w:rPr>
      <w:rFonts w:ascii="Arial" w:hAnsi="Arial"/>
      <w:spacing w:val="-3"/>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645197">
      <w:bodyDiv w:val="1"/>
      <w:marLeft w:val="0"/>
      <w:marRight w:val="0"/>
      <w:marTop w:val="0"/>
      <w:marBottom w:val="0"/>
      <w:divBdr>
        <w:top w:val="none" w:sz="0" w:space="0" w:color="auto"/>
        <w:left w:val="none" w:sz="0" w:space="0" w:color="auto"/>
        <w:bottom w:val="none" w:sz="0" w:space="0" w:color="auto"/>
        <w:right w:val="none" w:sz="0" w:space="0" w:color="auto"/>
      </w:divBdr>
    </w:div>
    <w:div w:id="1270548895">
      <w:bodyDiv w:val="1"/>
      <w:marLeft w:val="0"/>
      <w:marRight w:val="0"/>
      <w:marTop w:val="0"/>
      <w:marBottom w:val="0"/>
      <w:divBdr>
        <w:top w:val="none" w:sz="0" w:space="0" w:color="auto"/>
        <w:left w:val="none" w:sz="0" w:space="0" w:color="auto"/>
        <w:bottom w:val="none" w:sz="0" w:space="0" w:color="auto"/>
        <w:right w:val="none" w:sz="0" w:space="0" w:color="auto"/>
      </w:divBdr>
    </w:div>
    <w:div w:id="183233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oa.wi.gov/Documents/DEHCR/Relocation/WI_Eminent_Domain_Law32_05.pdf" TargetMode="External"/><Relationship Id="rId18" Type="http://schemas.openxmlformats.org/officeDocument/2006/relationships/hyperlink" Target="http://wisconsindot.gov/Pages/doing-bus/eng-consultants/cnslt-rsrces/default.aspx" TargetMode="External"/><Relationship Id="rId26" Type="http://schemas.openxmlformats.org/officeDocument/2006/relationships/hyperlink" Target="http://wisconsindot.gov/Pages/doing-bus/eng-consultants/cnslt-rsrces/contracts/cars.aspx" TargetMode="External"/><Relationship Id="rId3" Type="http://schemas.openxmlformats.org/officeDocument/2006/relationships/customXml" Target="../customXml/item3.xml"/><Relationship Id="rId21" Type="http://schemas.openxmlformats.org/officeDocument/2006/relationships/hyperlink" Target="http://wisconsindot.gov/Pages/doing-bus/eng-consultants/cnslt-rsrces/re/repm-forms.aspx" TargetMode="External"/><Relationship Id="rId7" Type="http://schemas.openxmlformats.org/officeDocument/2006/relationships/settings" Target="settings.xml"/><Relationship Id="rId12" Type="http://schemas.openxmlformats.org/officeDocument/2006/relationships/hyperlink" Target="http://www.irs.gov" TargetMode="External"/><Relationship Id="rId17" Type="http://schemas.openxmlformats.org/officeDocument/2006/relationships/hyperlink" Target="http://wisconsindot.gov/Pages/home.aspx" TargetMode="External"/><Relationship Id="rId25" Type="http://schemas.openxmlformats.org/officeDocument/2006/relationships/hyperlink" Target="http://wisconsindot.gov/Pages/doing-bus/eng-consultants/cnslt-rsrces/contracts/cars.aspx" TargetMode="External"/><Relationship Id="rId2" Type="http://schemas.openxmlformats.org/officeDocument/2006/relationships/customXml" Target="../customXml/item2.xml"/><Relationship Id="rId16" Type="http://schemas.openxmlformats.org/officeDocument/2006/relationships/hyperlink" Target="http://wisconsindot.gov/Pages/doing-bus/eng-consultants/cnslt-rsrces/re/default.aspx" TargetMode="External"/><Relationship Id="rId20" Type="http://schemas.openxmlformats.org/officeDocument/2006/relationships/hyperlink" Target="http://wisconsindot.gov/Pages/doing-bus/eng-consultants/cnslt-rsrces/re/repm.aspx" TargetMode="External"/><Relationship Id="rId29" Type="http://schemas.openxmlformats.org/officeDocument/2006/relationships/hyperlink" Target="https://on.wisconsin.gov/WAMS/SelfRegControll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oa.wi.gov/Documents/DEHCR/Relocation/WI_Eminent_Domain_Law32_05.pdf" TargetMode="External"/><Relationship Id="rId24" Type="http://schemas.openxmlformats.org/officeDocument/2006/relationships/hyperlink" Target="http://wisconsindot.gov/dtsdManuals/re/repmforms/RE1042-relo-capability.doc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isconsindot.gov/Pages/doing-bus/eng-consultants/cnslt-rsrces/default.aspx" TargetMode="External"/><Relationship Id="rId23" Type="http://schemas.openxmlformats.org/officeDocument/2006/relationships/hyperlink" Target="http://wisconsindot.gov/dtsdManuals/re/repmforms/RE1041-apprais-capability.docx" TargetMode="External"/><Relationship Id="rId28" Type="http://schemas.openxmlformats.org/officeDocument/2006/relationships/hyperlink" Target="mailto:WisDOTCARS@dot.wi.gov" TargetMode="External"/><Relationship Id="rId10" Type="http://schemas.openxmlformats.org/officeDocument/2006/relationships/endnotes" Target="endnotes.xml"/><Relationship Id="rId19" Type="http://schemas.openxmlformats.org/officeDocument/2006/relationships/hyperlink" Target="http://2.selectsurvey.net/wisdot/TakeSurvey.aspx?SurveyID=ll1Lno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isconsindot.gov/Pages/home.aspx" TargetMode="External"/><Relationship Id="rId22" Type="http://schemas.openxmlformats.org/officeDocument/2006/relationships/hyperlink" Target="http://wisconsindot.gov/dtsdManuals/re/repmforms/RE1040-acq-neg-capability.docx" TargetMode="External"/><Relationship Id="rId27" Type="http://schemas.openxmlformats.org/officeDocument/2006/relationships/hyperlink" Target="http://wisconsindot.gov/Documents/formdocs/dt1522.doc"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D\Documents\DOT\FDM\Attachments\WC_Normal_forAttach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6503B1-3080-49FA-A962-67C098327BF0}">
  <ds:schemaRefs>
    <ds:schemaRef ds:uri="http://schemas.openxmlformats.org/officeDocument/2006/bibliography"/>
  </ds:schemaRefs>
</ds:datastoreItem>
</file>

<file path=customXml/itemProps2.xml><?xml version="1.0" encoding="utf-8"?>
<ds:datastoreItem xmlns:ds="http://schemas.openxmlformats.org/officeDocument/2006/customXml" ds:itemID="{14C87ED3-7B84-4619-B029-4E699787E0F5}"/>
</file>

<file path=customXml/itemProps3.xml><?xml version="1.0" encoding="utf-8"?>
<ds:datastoreItem xmlns:ds="http://schemas.openxmlformats.org/officeDocument/2006/customXml" ds:itemID="{EC03661C-044E-4D3F-8234-0FCC24615E08}">
  <ds:schemaRefs>
    <ds:schemaRef ds:uri="http://schemas.microsoft.com/sharepoint/v3/contenttype/forms"/>
  </ds:schemaRefs>
</ds:datastoreItem>
</file>

<file path=customXml/itemProps4.xml><?xml version="1.0" encoding="utf-8"?>
<ds:datastoreItem xmlns:ds="http://schemas.openxmlformats.org/officeDocument/2006/customXml" ds:itemID="{88F85B23-204D-4011-BF6B-7CC362790D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WC_Normal_forAttachments.dot</Template>
  <TotalTime>3</TotalTime>
  <Pages>3</Pages>
  <Words>1595</Words>
  <Characters>9094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Real Estate Acquisition/Negotiation Special Provisions</vt:lpstr>
    </vt:vector>
  </TitlesOfParts>
  <Company>Wisconsin Department of Transportation</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Estate Acquisition/Negotiation Special Provisions</dc:title>
  <dc:subject>Real Estate Acquisition/Negotiation Special Provisions</dc:subject>
  <dc:creator>WisDOT Contracting</dc:creator>
  <cp:keywords>Real Estate Acquisition/Negotiation Special Provisions</cp:keywords>
  <cp:lastModifiedBy>Patoka, Mitchell W - DOT</cp:lastModifiedBy>
  <cp:revision>2</cp:revision>
  <cp:lastPrinted>2013-06-10T16:29:00Z</cp:lastPrinted>
  <dcterms:created xsi:type="dcterms:W3CDTF">2022-12-01T20:12:00Z</dcterms:created>
  <dcterms:modified xsi:type="dcterms:W3CDTF">2022-12-01T20:12:00Z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