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BB36E" w14:textId="77777777" w:rsidR="007A30C7" w:rsidRPr="008F736B" w:rsidRDefault="007A30C7" w:rsidP="007A30C7">
      <w:pPr>
        <w:rPr>
          <w:sz w:val="16"/>
          <w:szCs w:val="16"/>
        </w:rPr>
      </w:pPr>
      <w:bookmarkStart w:id="0" w:name="_GoBack"/>
      <w:bookmarkEnd w:id="0"/>
      <w:r w:rsidRPr="008F736B">
        <w:rPr>
          <w:sz w:val="16"/>
          <w:szCs w:val="16"/>
        </w:rPr>
        <w:t>Wisconsin Department of Transportation</w:t>
      </w:r>
      <w:r w:rsidRPr="008F736B">
        <w:rPr>
          <w:sz w:val="16"/>
          <w:szCs w:val="16"/>
        </w:rPr>
        <w:br/>
        <w:t>Bureau of Aeronautics</w:t>
      </w:r>
    </w:p>
    <w:p w14:paraId="032F706F" w14:textId="77777777" w:rsidR="007A30C7" w:rsidRPr="007A30C7" w:rsidRDefault="007A30C7" w:rsidP="00204FDB">
      <w:pPr>
        <w:tabs>
          <w:tab w:val="right" w:pos="10710"/>
        </w:tabs>
        <w:rPr>
          <w:b/>
          <w:bCs/>
          <w:sz w:val="12"/>
          <w:szCs w:val="12"/>
        </w:rPr>
      </w:pPr>
      <w:r w:rsidRPr="007A30C7">
        <w:rPr>
          <w:sz w:val="12"/>
          <w:szCs w:val="12"/>
        </w:rPr>
        <w:t>07/20</w:t>
      </w:r>
      <w:r w:rsidR="00240044">
        <w:rPr>
          <w:sz w:val="12"/>
          <w:szCs w:val="12"/>
        </w:rPr>
        <w:t>20</w:t>
      </w:r>
      <w:r w:rsidRPr="007A30C7">
        <w:rPr>
          <w:sz w:val="12"/>
          <w:szCs w:val="12"/>
        </w:rPr>
        <w:t xml:space="preserve">    Ch. 32 Wis. Stats.</w:t>
      </w:r>
    </w:p>
    <w:p w14:paraId="4DF91443" w14:textId="77777777" w:rsidR="007A30C7" w:rsidRPr="007A30C7" w:rsidRDefault="007A30C7" w:rsidP="00204FDB">
      <w:pPr>
        <w:tabs>
          <w:tab w:val="right" w:pos="10710"/>
        </w:tabs>
        <w:rPr>
          <w:b/>
          <w:bCs/>
          <w:sz w:val="12"/>
          <w:szCs w:val="12"/>
        </w:rPr>
      </w:pPr>
    </w:p>
    <w:p w14:paraId="678B222F" w14:textId="77777777" w:rsidR="00853A3A" w:rsidRDefault="00827CE6" w:rsidP="00204FDB">
      <w:pPr>
        <w:tabs>
          <w:tab w:val="right" w:pos="10710"/>
        </w:tabs>
        <w:rPr>
          <w:sz w:val="16"/>
          <w:szCs w:val="16"/>
        </w:rPr>
      </w:pPr>
      <w:r>
        <w:rPr>
          <w:b/>
          <w:bCs/>
          <w:sz w:val="24"/>
          <w:szCs w:val="24"/>
        </w:rPr>
        <w:t>SELF-MOVE AGREEMENT</w:t>
      </w:r>
      <w:r w:rsidR="00853A3A" w:rsidRPr="00853A3A">
        <w:rPr>
          <w:bCs/>
          <w:sz w:val="24"/>
          <w:szCs w:val="24"/>
        </w:rPr>
        <w:tab/>
      </w:r>
    </w:p>
    <w:p w14:paraId="5FAB5FBB" w14:textId="77777777" w:rsidR="00827CE6" w:rsidRDefault="00827CE6" w:rsidP="00204FDB"/>
    <w:tbl>
      <w:tblPr>
        <w:tblW w:w="10755" w:type="dxa"/>
        <w:jc w:val="center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755"/>
      </w:tblGrid>
      <w:tr w:rsidR="00827CE6" w:rsidRPr="00824222" w14:paraId="751B7EFB" w14:textId="77777777" w:rsidTr="00824222">
        <w:trPr>
          <w:trHeight w:val="672"/>
          <w:jc w:val="center"/>
        </w:trPr>
        <w:tc>
          <w:tcPr>
            <w:tcW w:w="10755" w:type="dxa"/>
            <w:tcBorders>
              <w:top w:val="single" w:sz="8" w:space="0" w:color="auto"/>
            </w:tcBorders>
          </w:tcPr>
          <w:p w14:paraId="4C847009" w14:textId="77777777" w:rsidR="001127A9" w:rsidRPr="00824222" w:rsidRDefault="00827CE6" w:rsidP="001127A9">
            <w:r w:rsidRPr="00824222">
              <w:t xml:space="preserve">Claimant </w:t>
            </w:r>
            <w:r w:rsidR="00204FDB" w:rsidRPr="00824222">
              <w:t>n</w:t>
            </w:r>
            <w:r w:rsidRPr="00824222">
              <w:t>ame</w:t>
            </w:r>
          </w:p>
          <w:p w14:paraId="0FCAE0B7" w14:textId="77777777" w:rsidR="00827CE6" w:rsidRPr="00824222" w:rsidRDefault="00A9484E" w:rsidP="00EC60A5">
            <w:r w:rsidRPr="00824222">
              <w:fldChar w:fldCharType="begin">
                <w:ffData>
                  <w:name w:val=""/>
                  <w:enabled/>
                  <w:calcOnExit w:val="0"/>
                  <w:textInput>
                    <w:default w:val="##BKMK_RELO_relocatee##"/>
                  </w:textInput>
                </w:ffData>
              </w:fldChar>
            </w:r>
            <w:r w:rsidR="00824222" w:rsidRPr="00824222">
              <w:instrText xml:space="preserve"> FORMTEXT </w:instrText>
            </w:r>
            <w:r w:rsidR="00FC22B1">
              <w:fldChar w:fldCharType="separate"/>
            </w:r>
            <w:r w:rsidRPr="00824222">
              <w:fldChar w:fldCharType="end"/>
            </w:r>
          </w:p>
        </w:tc>
      </w:tr>
      <w:tr w:rsidR="00827CE6" w:rsidRPr="00824222" w14:paraId="63BFF09E" w14:textId="77777777" w:rsidTr="00824222">
        <w:trPr>
          <w:trHeight w:val="672"/>
          <w:jc w:val="center"/>
        </w:trPr>
        <w:tc>
          <w:tcPr>
            <w:tcW w:w="10755" w:type="dxa"/>
            <w:tcBorders>
              <w:bottom w:val="single" w:sz="8" w:space="0" w:color="auto"/>
            </w:tcBorders>
          </w:tcPr>
          <w:p w14:paraId="3AE34D5C" w14:textId="77777777" w:rsidR="001127A9" w:rsidRPr="00824222" w:rsidRDefault="00827CE6" w:rsidP="001127A9">
            <w:r w:rsidRPr="00824222">
              <w:t xml:space="preserve">Bid </w:t>
            </w:r>
            <w:r w:rsidR="00204FDB" w:rsidRPr="00824222">
              <w:t>a</w:t>
            </w:r>
            <w:r w:rsidRPr="00824222">
              <w:t xml:space="preserve">mount – </w:t>
            </w:r>
            <w:r w:rsidR="00204FDB" w:rsidRPr="00824222">
              <w:t>l</w:t>
            </w:r>
            <w:r w:rsidRPr="00824222">
              <w:t xml:space="preserve">ower of </w:t>
            </w:r>
            <w:r w:rsidR="00204FDB" w:rsidRPr="00824222">
              <w:t>two m</w:t>
            </w:r>
            <w:r w:rsidRPr="00824222">
              <w:t xml:space="preserve">oving </w:t>
            </w:r>
            <w:r w:rsidR="00204FDB" w:rsidRPr="00824222">
              <w:t>b</w:t>
            </w:r>
            <w:r w:rsidRPr="00824222">
              <w:t>ids</w:t>
            </w:r>
            <w:r w:rsidR="00204FDB" w:rsidRPr="00824222">
              <w:t>,</w:t>
            </w:r>
            <w:r w:rsidRPr="00824222">
              <w:t xml:space="preserve"> </w:t>
            </w:r>
            <w:r w:rsidR="00204FDB" w:rsidRPr="00824222">
              <w:t>i</w:t>
            </w:r>
            <w:r w:rsidRPr="00824222">
              <w:t xml:space="preserve">ncluding </w:t>
            </w:r>
            <w:r w:rsidR="00204FDB" w:rsidRPr="00824222">
              <w:t>i</w:t>
            </w:r>
            <w:r w:rsidRPr="00824222">
              <w:t>nsurance</w:t>
            </w:r>
            <w:r w:rsidR="001127A9" w:rsidRPr="00824222">
              <w:t>.</w:t>
            </w:r>
          </w:p>
          <w:p w14:paraId="3D1B84BC" w14:textId="77777777" w:rsidR="00827CE6" w:rsidRPr="00824222" w:rsidRDefault="001127A9" w:rsidP="001127A9">
            <w:r w:rsidRPr="00824222">
              <w:rPr>
                <w:spacing w:val="-2"/>
              </w:rPr>
              <w:t xml:space="preserve">$ </w:t>
            </w:r>
            <w:r w:rsidR="00A9484E" w:rsidRPr="00824222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4222">
              <w:rPr>
                <w:spacing w:val="-2"/>
              </w:rPr>
              <w:instrText xml:space="preserve"> FORMTEXT </w:instrText>
            </w:r>
            <w:r w:rsidR="00A9484E" w:rsidRPr="00824222">
              <w:rPr>
                <w:spacing w:val="-2"/>
              </w:rPr>
            </w:r>
            <w:r w:rsidR="00A9484E" w:rsidRPr="00824222">
              <w:rPr>
                <w:spacing w:val="-2"/>
              </w:rPr>
              <w:fldChar w:fldCharType="separate"/>
            </w:r>
            <w:r w:rsidRPr="00824222">
              <w:rPr>
                <w:rFonts w:ascii="Cambria Math" w:hAnsi="Cambria Math"/>
                <w:noProof/>
                <w:spacing w:val="-2"/>
              </w:rPr>
              <w:t> </w:t>
            </w:r>
            <w:r w:rsidRPr="00824222">
              <w:rPr>
                <w:rFonts w:ascii="Cambria Math" w:hAnsi="Cambria Math"/>
                <w:noProof/>
                <w:spacing w:val="-2"/>
              </w:rPr>
              <w:t> </w:t>
            </w:r>
            <w:r w:rsidRPr="00824222">
              <w:rPr>
                <w:rFonts w:ascii="Cambria Math" w:hAnsi="Cambria Math"/>
                <w:noProof/>
                <w:spacing w:val="-2"/>
              </w:rPr>
              <w:t> </w:t>
            </w:r>
            <w:r w:rsidRPr="00824222">
              <w:rPr>
                <w:rFonts w:ascii="Cambria Math" w:hAnsi="Cambria Math"/>
                <w:noProof/>
                <w:spacing w:val="-2"/>
              </w:rPr>
              <w:t> </w:t>
            </w:r>
            <w:r w:rsidRPr="00824222">
              <w:rPr>
                <w:rFonts w:ascii="Cambria Math" w:hAnsi="Cambria Math"/>
                <w:noProof/>
                <w:spacing w:val="-2"/>
              </w:rPr>
              <w:t> </w:t>
            </w:r>
            <w:r w:rsidR="00A9484E" w:rsidRPr="00824222">
              <w:rPr>
                <w:spacing w:val="-2"/>
              </w:rPr>
              <w:fldChar w:fldCharType="end"/>
            </w:r>
          </w:p>
        </w:tc>
      </w:tr>
    </w:tbl>
    <w:p w14:paraId="557ED2CF" w14:textId="77777777" w:rsidR="00827CE6" w:rsidRPr="00853A3A" w:rsidRDefault="00827CE6" w:rsidP="00204FDB"/>
    <w:p w14:paraId="7D6A413D" w14:textId="77777777" w:rsidR="00827CE6" w:rsidRPr="00853A3A" w:rsidRDefault="00827CE6" w:rsidP="00204FDB"/>
    <w:p w14:paraId="7055AC88" w14:textId="77777777" w:rsidR="00827CE6" w:rsidRPr="00853A3A" w:rsidRDefault="00827CE6" w:rsidP="00204FDB">
      <w:pPr>
        <w:ind w:left="720" w:hanging="720"/>
        <w:rPr>
          <w:sz w:val="22"/>
          <w:szCs w:val="22"/>
        </w:rPr>
      </w:pPr>
      <w:r w:rsidRPr="00853A3A">
        <w:rPr>
          <w:sz w:val="22"/>
          <w:szCs w:val="22"/>
        </w:rPr>
        <w:t>The parties agree as follows:</w:t>
      </w:r>
    </w:p>
    <w:p w14:paraId="21C8C27D" w14:textId="77777777" w:rsidR="00827CE6" w:rsidRPr="00853A3A" w:rsidRDefault="00827CE6" w:rsidP="00204FDB">
      <w:pPr>
        <w:ind w:left="720" w:hanging="720"/>
        <w:rPr>
          <w:sz w:val="22"/>
          <w:szCs w:val="22"/>
        </w:rPr>
      </w:pPr>
    </w:p>
    <w:p w14:paraId="2DD9EA3C" w14:textId="77777777" w:rsidR="00827CE6" w:rsidRPr="00853A3A" w:rsidRDefault="00827CE6" w:rsidP="00204FDB">
      <w:pPr>
        <w:numPr>
          <w:ilvl w:val="0"/>
          <w:numId w:val="2"/>
        </w:numPr>
        <w:tabs>
          <w:tab w:val="clear" w:pos="120"/>
        </w:tabs>
        <w:ind w:left="720" w:hanging="720"/>
        <w:rPr>
          <w:sz w:val="22"/>
          <w:szCs w:val="22"/>
        </w:rPr>
      </w:pPr>
      <w:r w:rsidRPr="00853A3A">
        <w:rPr>
          <w:sz w:val="22"/>
          <w:szCs w:val="22"/>
        </w:rPr>
        <w:t>The inventory shall not contain any property classified as realty or any property for which the claimant has been paid under the acquisition of the property.</w:t>
      </w:r>
    </w:p>
    <w:p w14:paraId="1BFBDBD0" w14:textId="77777777" w:rsidR="00827CE6" w:rsidRPr="00853A3A" w:rsidRDefault="00827CE6" w:rsidP="00204FDB">
      <w:pPr>
        <w:numPr>
          <w:ilvl w:val="0"/>
          <w:numId w:val="2"/>
        </w:numPr>
        <w:tabs>
          <w:tab w:val="clear" w:pos="120"/>
        </w:tabs>
        <w:ind w:left="720" w:hanging="720"/>
        <w:rPr>
          <w:sz w:val="22"/>
          <w:szCs w:val="22"/>
        </w:rPr>
      </w:pPr>
      <w:r w:rsidRPr="00853A3A">
        <w:rPr>
          <w:sz w:val="22"/>
          <w:szCs w:val="22"/>
        </w:rPr>
        <w:t>The claimant certifies that:</w:t>
      </w:r>
    </w:p>
    <w:p w14:paraId="282C7023" w14:textId="77777777" w:rsidR="00827CE6" w:rsidRPr="002F20A1" w:rsidRDefault="00827CE6" w:rsidP="002F20A1">
      <w:pPr>
        <w:numPr>
          <w:ilvl w:val="1"/>
          <w:numId w:val="2"/>
        </w:numPr>
        <w:tabs>
          <w:tab w:val="clear" w:pos="480"/>
        </w:tabs>
        <w:ind w:left="1440" w:hanging="720"/>
        <w:rPr>
          <w:sz w:val="22"/>
          <w:szCs w:val="22"/>
        </w:rPr>
      </w:pPr>
      <w:r w:rsidRPr="002F20A1">
        <w:rPr>
          <w:sz w:val="22"/>
          <w:szCs w:val="22"/>
        </w:rPr>
        <w:t>All personalty will be removed from the subject site.</w:t>
      </w:r>
    </w:p>
    <w:p w14:paraId="4BD6C3AF" w14:textId="77777777" w:rsidR="00827CE6" w:rsidRPr="00853A3A" w:rsidRDefault="00827CE6" w:rsidP="00204FDB">
      <w:pPr>
        <w:numPr>
          <w:ilvl w:val="1"/>
          <w:numId w:val="2"/>
        </w:numPr>
        <w:tabs>
          <w:tab w:val="clear" w:pos="480"/>
        </w:tabs>
        <w:ind w:left="1440" w:hanging="720"/>
        <w:rPr>
          <w:sz w:val="22"/>
          <w:szCs w:val="22"/>
        </w:rPr>
      </w:pPr>
      <w:r w:rsidRPr="00853A3A">
        <w:rPr>
          <w:sz w:val="22"/>
          <w:szCs w:val="22"/>
        </w:rPr>
        <w:t xml:space="preserve">All items listed on the inventory will be </w:t>
      </w:r>
      <w:proofErr w:type="gramStart"/>
      <w:r w:rsidRPr="00853A3A">
        <w:rPr>
          <w:sz w:val="22"/>
          <w:szCs w:val="22"/>
        </w:rPr>
        <w:t>actually moved</w:t>
      </w:r>
      <w:proofErr w:type="gramEnd"/>
      <w:r w:rsidRPr="00853A3A">
        <w:rPr>
          <w:sz w:val="22"/>
          <w:szCs w:val="22"/>
        </w:rPr>
        <w:t>.</w:t>
      </w:r>
    </w:p>
    <w:p w14:paraId="091DE9AB" w14:textId="77777777" w:rsidR="00827CE6" w:rsidRPr="00853A3A" w:rsidRDefault="00827CE6" w:rsidP="00204FDB">
      <w:pPr>
        <w:numPr>
          <w:ilvl w:val="0"/>
          <w:numId w:val="2"/>
        </w:numPr>
        <w:tabs>
          <w:tab w:val="clear" w:pos="120"/>
        </w:tabs>
        <w:ind w:left="720" w:hanging="720"/>
        <w:rPr>
          <w:sz w:val="22"/>
          <w:szCs w:val="22"/>
        </w:rPr>
      </w:pPr>
      <w:r w:rsidRPr="00853A3A">
        <w:rPr>
          <w:sz w:val="22"/>
          <w:szCs w:val="22"/>
        </w:rPr>
        <w:t>All contaminated materials must be removed from the acquired parcel in an approved manner.</w:t>
      </w:r>
    </w:p>
    <w:p w14:paraId="5B99F779" w14:textId="77777777" w:rsidR="00827CE6" w:rsidRPr="00853A3A" w:rsidRDefault="007A30C7" w:rsidP="00204FDB">
      <w:pPr>
        <w:numPr>
          <w:ilvl w:val="0"/>
          <w:numId w:val="2"/>
        </w:numPr>
        <w:tabs>
          <w:tab w:val="clear" w:pos="1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The relocation agent w</w:t>
      </w:r>
      <w:r w:rsidR="00827CE6" w:rsidRPr="00853A3A">
        <w:rPr>
          <w:sz w:val="22"/>
          <w:szCs w:val="22"/>
        </w:rPr>
        <w:t>ill inspect the site to verify that all items have been removed.</w:t>
      </w:r>
    </w:p>
    <w:p w14:paraId="3CB7B932" w14:textId="77777777" w:rsidR="00827CE6" w:rsidRPr="00853A3A" w:rsidRDefault="00827CE6" w:rsidP="00204FDB">
      <w:pPr>
        <w:numPr>
          <w:ilvl w:val="0"/>
          <w:numId w:val="2"/>
        </w:numPr>
        <w:tabs>
          <w:tab w:val="clear" w:pos="120"/>
        </w:tabs>
        <w:ind w:left="720" w:hanging="720"/>
        <w:rPr>
          <w:sz w:val="22"/>
          <w:szCs w:val="22"/>
        </w:rPr>
      </w:pPr>
      <w:r w:rsidRPr="00853A3A">
        <w:rPr>
          <w:sz w:val="22"/>
          <w:szCs w:val="22"/>
        </w:rPr>
        <w:t xml:space="preserve">The claimant shall provide </w:t>
      </w:r>
      <w:r w:rsidR="00240044">
        <w:rPr>
          <w:sz w:val="22"/>
          <w:szCs w:val="22"/>
        </w:rPr>
        <w:t xml:space="preserve">the </w:t>
      </w:r>
      <w:r w:rsidR="007A30C7">
        <w:rPr>
          <w:sz w:val="22"/>
          <w:szCs w:val="22"/>
        </w:rPr>
        <w:t>relocation agent</w:t>
      </w:r>
      <w:r w:rsidRPr="00853A3A">
        <w:rPr>
          <w:sz w:val="22"/>
          <w:szCs w:val="22"/>
        </w:rPr>
        <w:t xml:space="preserve"> with reasonable advance notice of the move start date.</w:t>
      </w:r>
    </w:p>
    <w:p w14:paraId="6F487DA4" w14:textId="77777777" w:rsidR="00827CE6" w:rsidRPr="00853A3A" w:rsidRDefault="001200A9" w:rsidP="00204FDB">
      <w:pPr>
        <w:numPr>
          <w:ilvl w:val="0"/>
          <w:numId w:val="2"/>
        </w:numPr>
        <w:tabs>
          <w:tab w:val="clear" w:pos="1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The claimant will allow the</w:t>
      </w:r>
      <w:r w:rsidR="00827CE6" w:rsidRPr="00853A3A">
        <w:rPr>
          <w:sz w:val="22"/>
          <w:szCs w:val="22"/>
        </w:rPr>
        <w:t xml:space="preserve"> relocation </w:t>
      </w:r>
      <w:r w:rsidR="006178DF">
        <w:rPr>
          <w:sz w:val="22"/>
          <w:szCs w:val="22"/>
        </w:rPr>
        <w:t>agent</w:t>
      </w:r>
      <w:r w:rsidR="00827CE6" w:rsidRPr="00853A3A">
        <w:rPr>
          <w:sz w:val="22"/>
          <w:szCs w:val="22"/>
        </w:rPr>
        <w:t xml:space="preserve"> to monitor the move; such monitoring shall not </w:t>
      </w:r>
      <w:r w:rsidR="007A30C7">
        <w:rPr>
          <w:sz w:val="22"/>
          <w:szCs w:val="22"/>
        </w:rPr>
        <w:t>c</w:t>
      </w:r>
      <w:r w:rsidR="00234195">
        <w:rPr>
          <w:sz w:val="22"/>
          <w:szCs w:val="22"/>
        </w:rPr>
        <w:t xml:space="preserve">ause the </w:t>
      </w:r>
      <w:r w:rsidR="00234195" w:rsidRPr="0080220D">
        <w:rPr>
          <w:rFonts w:asciiTheme="majorHAnsi" w:hAnsiTheme="majorHAnsi"/>
          <w:szCs w:val="24"/>
          <w:highlight w:val="lightGray"/>
        </w:rPr>
        <w:t>[</w:t>
      </w:r>
      <w:r w:rsidR="00234195" w:rsidRPr="00234195">
        <w:rPr>
          <w:szCs w:val="24"/>
          <w:highlight w:val="lightGray"/>
        </w:rPr>
        <w:t>airport owner</w:t>
      </w:r>
      <w:r w:rsidR="00234195" w:rsidRPr="0080220D">
        <w:rPr>
          <w:rFonts w:asciiTheme="majorHAnsi" w:hAnsiTheme="majorHAnsi"/>
          <w:szCs w:val="24"/>
          <w:highlight w:val="lightGray"/>
        </w:rPr>
        <w:t>]</w:t>
      </w:r>
      <w:r w:rsidR="00827CE6" w:rsidRPr="00853A3A">
        <w:rPr>
          <w:sz w:val="22"/>
          <w:szCs w:val="22"/>
        </w:rPr>
        <w:t xml:space="preserve"> </w:t>
      </w:r>
      <w:r w:rsidR="00234195">
        <w:rPr>
          <w:sz w:val="22"/>
          <w:szCs w:val="22"/>
        </w:rPr>
        <w:t xml:space="preserve">or its </w:t>
      </w:r>
      <w:r>
        <w:rPr>
          <w:sz w:val="22"/>
          <w:szCs w:val="22"/>
        </w:rPr>
        <w:t>representatives</w:t>
      </w:r>
      <w:r w:rsidR="00234195">
        <w:rPr>
          <w:sz w:val="22"/>
          <w:szCs w:val="22"/>
        </w:rPr>
        <w:t xml:space="preserve"> to assume </w:t>
      </w:r>
      <w:r w:rsidR="00827CE6" w:rsidRPr="00853A3A">
        <w:rPr>
          <w:sz w:val="22"/>
          <w:szCs w:val="22"/>
        </w:rPr>
        <w:t>any liability for the move.</w:t>
      </w:r>
    </w:p>
    <w:p w14:paraId="4B08EB8C" w14:textId="77777777" w:rsidR="00827CE6" w:rsidRPr="00853A3A" w:rsidRDefault="00827CE6" w:rsidP="00204FDB">
      <w:pPr>
        <w:numPr>
          <w:ilvl w:val="0"/>
          <w:numId w:val="2"/>
        </w:numPr>
        <w:tabs>
          <w:tab w:val="clear" w:pos="120"/>
        </w:tabs>
        <w:ind w:left="720" w:hanging="720"/>
        <w:rPr>
          <w:sz w:val="22"/>
          <w:szCs w:val="22"/>
        </w:rPr>
      </w:pPr>
      <w:r w:rsidRPr="00853A3A">
        <w:rPr>
          <w:sz w:val="22"/>
          <w:szCs w:val="22"/>
        </w:rPr>
        <w:t xml:space="preserve">The claimant is aware that replacement cost coverage has been included in the bids for the self-move.  Neither </w:t>
      </w:r>
      <w:r w:rsidR="00234195" w:rsidRPr="0080220D">
        <w:rPr>
          <w:rFonts w:asciiTheme="majorHAnsi" w:hAnsiTheme="majorHAnsi"/>
          <w:szCs w:val="24"/>
          <w:highlight w:val="lightGray"/>
        </w:rPr>
        <w:t>[</w:t>
      </w:r>
      <w:r w:rsidR="00234195" w:rsidRPr="00234195">
        <w:rPr>
          <w:szCs w:val="24"/>
          <w:highlight w:val="lightGray"/>
        </w:rPr>
        <w:t>airport owner</w:t>
      </w:r>
      <w:r w:rsidR="00234195" w:rsidRPr="0080220D">
        <w:rPr>
          <w:rFonts w:asciiTheme="majorHAnsi" w:hAnsiTheme="majorHAnsi"/>
          <w:szCs w:val="24"/>
          <w:highlight w:val="lightGray"/>
        </w:rPr>
        <w:t>]</w:t>
      </w:r>
      <w:r w:rsidR="00234195" w:rsidRPr="00853A3A">
        <w:rPr>
          <w:sz w:val="22"/>
          <w:szCs w:val="22"/>
        </w:rPr>
        <w:t xml:space="preserve"> </w:t>
      </w:r>
      <w:r w:rsidR="00234195">
        <w:rPr>
          <w:sz w:val="22"/>
          <w:szCs w:val="22"/>
        </w:rPr>
        <w:t xml:space="preserve">nor its representatives </w:t>
      </w:r>
      <w:r w:rsidRPr="00853A3A">
        <w:rPr>
          <w:sz w:val="22"/>
          <w:szCs w:val="22"/>
        </w:rPr>
        <w:t>shall be responsible for any damage to personal property in connection with the self-move.</w:t>
      </w:r>
    </w:p>
    <w:p w14:paraId="30413426" w14:textId="77777777" w:rsidR="00827CE6" w:rsidRPr="00853A3A" w:rsidRDefault="00827CE6" w:rsidP="00204FDB">
      <w:pPr>
        <w:numPr>
          <w:ilvl w:val="0"/>
          <w:numId w:val="2"/>
        </w:numPr>
        <w:tabs>
          <w:tab w:val="clear" w:pos="120"/>
        </w:tabs>
        <w:ind w:left="720" w:hanging="720"/>
        <w:rPr>
          <w:sz w:val="22"/>
          <w:szCs w:val="22"/>
        </w:rPr>
      </w:pPr>
      <w:r w:rsidRPr="00853A3A">
        <w:rPr>
          <w:sz w:val="22"/>
          <w:szCs w:val="22"/>
        </w:rPr>
        <w:t>The claimant is aware that insurance coverage should be maintained for the duration of the move.</w:t>
      </w:r>
    </w:p>
    <w:p w14:paraId="507A6AEC" w14:textId="77777777" w:rsidR="00827CE6" w:rsidRPr="00234195" w:rsidRDefault="00827CE6" w:rsidP="00204FDB">
      <w:pPr>
        <w:numPr>
          <w:ilvl w:val="0"/>
          <w:numId w:val="2"/>
        </w:numPr>
        <w:tabs>
          <w:tab w:val="clear" w:pos="120"/>
        </w:tabs>
        <w:ind w:left="720" w:hanging="720"/>
        <w:rPr>
          <w:sz w:val="22"/>
          <w:szCs w:val="22"/>
        </w:rPr>
      </w:pPr>
      <w:r w:rsidRPr="00234195">
        <w:rPr>
          <w:sz w:val="22"/>
          <w:szCs w:val="22"/>
        </w:rPr>
        <w:t>The claimant shall indemnify and hold harmless</w:t>
      </w:r>
      <w:r w:rsidR="00234195" w:rsidRPr="00234195">
        <w:rPr>
          <w:sz w:val="22"/>
          <w:szCs w:val="22"/>
        </w:rPr>
        <w:t xml:space="preserve"> the</w:t>
      </w:r>
      <w:r w:rsidRPr="00234195">
        <w:rPr>
          <w:sz w:val="22"/>
          <w:szCs w:val="22"/>
        </w:rPr>
        <w:t xml:space="preserve"> </w:t>
      </w:r>
      <w:r w:rsidR="00234195" w:rsidRPr="00234195">
        <w:rPr>
          <w:rFonts w:asciiTheme="majorHAnsi" w:hAnsiTheme="majorHAnsi"/>
          <w:szCs w:val="24"/>
          <w:highlight w:val="lightGray"/>
        </w:rPr>
        <w:t>[</w:t>
      </w:r>
      <w:r w:rsidR="00234195" w:rsidRPr="00234195">
        <w:rPr>
          <w:szCs w:val="24"/>
          <w:highlight w:val="lightGray"/>
        </w:rPr>
        <w:t>airport owner</w:t>
      </w:r>
      <w:r w:rsidR="00234195" w:rsidRPr="00234195">
        <w:rPr>
          <w:rFonts w:asciiTheme="majorHAnsi" w:hAnsiTheme="majorHAnsi"/>
          <w:szCs w:val="24"/>
          <w:highlight w:val="lightGray"/>
        </w:rPr>
        <w:t>]</w:t>
      </w:r>
      <w:r w:rsidR="00234195" w:rsidRPr="00234195">
        <w:rPr>
          <w:sz w:val="22"/>
          <w:szCs w:val="22"/>
        </w:rPr>
        <w:t xml:space="preserve"> </w:t>
      </w:r>
      <w:r w:rsidR="00234195">
        <w:rPr>
          <w:sz w:val="22"/>
          <w:szCs w:val="22"/>
        </w:rPr>
        <w:t xml:space="preserve">and its </w:t>
      </w:r>
      <w:r w:rsidR="001200A9">
        <w:rPr>
          <w:sz w:val="22"/>
          <w:szCs w:val="22"/>
        </w:rPr>
        <w:t>representatives</w:t>
      </w:r>
      <w:r w:rsidR="00234195">
        <w:rPr>
          <w:sz w:val="22"/>
          <w:szCs w:val="22"/>
        </w:rPr>
        <w:t xml:space="preserve"> </w:t>
      </w:r>
      <w:r w:rsidRPr="00234195">
        <w:rPr>
          <w:sz w:val="22"/>
          <w:szCs w:val="22"/>
        </w:rPr>
        <w:t>for any liability caused by injury or damage caused by claimant in connection with the self-move and this agreement.</w:t>
      </w:r>
    </w:p>
    <w:p w14:paraId="0364C6C4" w14:textId="77777777" w:rsidR="00827CE6" w:rsidRPr="00853A3A" w:rsidRDefault="00234195" w:rsidP="00204FDB">
      <w:pPr>
        <w:numPr>
          <w:ilvl w:val="0"/>
          <w:numId w:val="2"/>
        </w:numPr>
        <w:tabs>
          <w:tab w:val="clear" w:pos="120"/>
        </w:tabs>
        <w:ind w:left="720" w:hanging="720"/>
        <w:rPr>
          <w:sz w:val="22"/>
          <w:szCs w:val="22"/>
        </w:rPr>
      </w:pPr>
      <w:r w:rsidRPr="0080220D">
        <w:rPr>
          <w:rFonts w:asciiTheme="majorHAnsi" w:hAnsiTheme="majorHAnsi"/>
          <w:szCs w:val="24"/>
          <w:highlight w:val="lightGray"/>
        </w:rPr>
        <w:t>[</w:t>
      </w:r>
      <w:r w:rsidRPr="00234195">
        <w:rPr>
          <w:szCs w:val="24"/>
          <w:highlight w:val="lightGray"/>
        </w:rPr>
        <w:t>airport owner</w:t>
      </w:r>
      <w:r w:rsidRPr="0080220D">
        <w:rPr>
          <w:rFonts w:asciiTheme="majorHAnsi" w:hAnsiTheme="majorHAnsi"/>
          <w:szCs w:val="24"/>
          <w:highlight w:val="lightGray"/>
        </w:rPr>
        <w:t>]</w:t>
      </w:r>
      <w:r w:rsidRPr="00853A3A">
        <w:rPr>
          <w:sz w:val="22"/>
          <w:szCs w:val="22"/>
        </w:rPr>
        <w:t xml:space="preserve"> </w:t>
      </w:r>
      <w:r w:rsidR="001200A9">
        <w:rPr>
          <w:sz w:val="22"/>
          <w:szCs w:val="22"/>
        </w:rPr>
        <w:t>and representatives</w:t>
      </w:r>
      <w:r>
        <w:rPr>
          <w:sz w:val="22"/>
          <w:szCs w:val="22"/>
        </w:rPr>
        <w:t xml:space="preserve"> </w:t>
      </w:r>
      <w:r w:rsidR="00827CE6" w:rsidRPr="00853A3A">
        <w:rPr>
          <w:sz w:val="22"/>
          <w:szCs w:val="22"/>
        </w:rPr>
        <w:t>shall not be responsible for any costs that exceed the amount of the lowest bid.</w:t>
      </w:r>
    </w:p>
    <w:p w14:paraId="4C29F750" w14:textId="77777777" w:rsidR="00827CE6" w:rsidRPr="00853A3A" w:rsidRDefault="00827CE6" w:rsidP="00204FDB">
      <w:pPr>
        <w:numPr>
          <w:ilvl w:val="0"/>
          <w:numId w:val="2"/>
        </w:numPr>
        <w:tabs>
          <w:tab w:val="clear" w:pos="120"/>
        </w:tabs>
        <w:ind w:left="720" w:hanging="720"/>
        <w:rPr>
          <w:sz w:val="22"/>
          <w:szCs w:val="22"/>
        </w:rPr>
      </w:pPr>
      <w:r w:rsidRPr="00853A3A">
        <w:rPr>
          <w:sz w:val="22"/>
          <w:szCs w:val="22"/>
        </w:rPr>
        <w:t>This agreement does not include any specialized moves or related moving costs performed by others.  Those costs shall be handled separately.</w:t>
      </w:r>
    </w:p>
    <w:p w14:paraId="0101950D" w14:textId="77777777" w:rsidR="00827CE6" w:rsidRPr="00853A3A" w:rsidRDefault="00827CE6" w:rsidP="00204FDB">
      <w:pPr>
        <w:ind w:left="240" w:hanging="240"/>
        <w:rPr>
          <w:sz w:val="22"/>
          <w:szCs w:val="22"/>
        </w:rPr>
      </w:pPr>
    </w:p>
    <w:p w14:paraId="34BFD729" w14:textId="77777777" w:rsidR="00827CE6" w:rsidRPr="00853A3A" w:rsidRDefault="00827CE6" w:rsidP="00204FDB">
      <w:pPr>
        <w:rPr>
          <w:sz w:val="22"/>
          <w:szCs w:val="22"/>
        </w:rPr>
      </w:pPr>
      <w:r w:rsidRPr="00853A3A">
        <w:rPr>
          <w:sz w:val="22"/>
          <w:szCs w:val="22"/>
        </w:rPr>
        <w:t xml:space="preserve">In addition to the above items, it is understood and agreed that the bid amount identified above will be paid to the </w:t>
      </w:r>
      <w:r w:rsidR="00853A3A">
        <w:rPr>
          <w:sz w:val="22"/>
          <w:szCs w:val="22"/>
        </w:rPr>
        <w:t>c</w:t>
      </w:r>
      <w:r w:rsidRPr="00853A3A">
        <w:rPr>
          <w:sz w:val="22"/>
          <w:szCs w:val="22"/>
        </w:rPr>
        <w:t>laimant for the relocation of all business fixtures, equipment, stock, inventory and other items of personalty listed on the "inventory" attached to this document.</w:t>
      </w:r>
    </w:p>
    <w:p w14:paraId="3EAE05A8" w14:textId="77777777" w:rsidR="00827CE6" w:rsidRPr="00853A3A" w:rsidRDefault="00827CE6" w:rsidP="00204FDB">
      <w:pPr>
        <w:rPr>
          <w:sz w:val="22"/>
          <w:szCs w:val="22"/>
        </w:rPr>
      </w:pPr>
    </w:p>
    <w:p w14:paraId="351BC121" w14:textId="77777777" w:rsidR="00827CE6" w:rsidRPr="00853A3A" w:rsidRDefault="00827CE6" w:rsidP="00204FDB">
      <w:pPr>
        <w:rPr>
          <w:sz w:val="22"/>
          <w:szCs w:val="22"/>
        </w:rPr>
      </w:pPr>
    </w:p>
    <w:tbl>
      <w:tblPr>
        <w:tblW w:w="10800" w:type="dxa"/>
        <w:jc w:val="center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"/>
        <w:gridCol w:w="3600"/>
        <w:gridCol w:w="1440"/>
        <w:gridCol w:w="270"/>
        <w:gridCol w:w="2700"/>
        <w:gridCol w:w="360"/>
        <w:gridCol w:w="720"/>
        <w:gridCol w:w="1440"/>
      </w:tblGrid>
      <w:tr w:rsidR="00204FDB" w:rsidRPr="00853A3A" w14:paraId="210F6079" w14:textId="77777777" w:rsidTr="00F95570">
        <w:trPr>
          <w:trHeight w:val="735"/>
          <w:jc w:val="center"/>
        </w:trPr>
        <w:tc>
          <w:tcPr>
            <w:tcW w:w="10800" w:type="dxa"/>
            <w:gridSpan w:val="8"/>
            <w:tcBorders>
              <w:top w:val="double" w:sz="4" w:space="0" w:color="auto"/>
              <w:bottom w:val="nil"/>
            </w:tcBorders>
          </w:tcPr>
          <w:p w14:paraId="04CCEEE7" w14:textId="77777777" w:rsidR="00204FDB" w:rsidRPr="00853A3A" w:rsidRDefault="00204FDB" w:rsidP="006B5AC5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853A3A">
              <w:rPr>
                <w:b/>
                <w:bCs/>
                <w:sz w:val="22"/>
                <w:szCs w:val="22"/>
              </w:rPr>
              <w:t>APPROVED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44F5B436" w14:textId="77777777" w:rsidR="00204FDB" w:rsidRPr="00853A3A" w:rsidRDefault="00204FDB" w:rsidP="006B5AC5">
            <w:pPr>
              <w:suppressAutoHyphens/>
              <w:spacing w:before="120"/>
              <w:rPr>
                <w:spacing w:val="-2"/>
              </w:rPr>
            </w:pPr>
          </w:p>
        </w:tc>
      </w:tr>
      <w:tr w:rsidR="006B5AC5" w:rsidRPr="00824222" w14:paraId="78B6D188" w14:textId="77777777" w:rsidTr="00824222">
        <w:trPr>
          <w:trHeight w:val="432"/>
          <w:jc w:val="center"/>
        </w:trPr>
        <w:tc>
          <w:tcPr>
            <w:tcW w:w="5310" w:type="dxa"/>
            <w:gridSpan w:val="3"/>
            <w:tcBorders>
              <w:top w:val="nil"/>
            </w:tcBorders>
            <w:vAlign w:val="bottom"/>
          </w:tcPr>
          <w:p w14:paraId="65F4C82A" w14:textId="77777777" w:rsidR="006B5AC5" w:rsidRPr="00824222" w:rsidRDefault="00824222" w:rsidP="00EC60A5">
            <w:pPr>
              <w:tabs>
                <w:tab w:val="left" w:pos="2772"/>
              </w:tabs>
              <w:suppressAutoHyphens/>
              <w:rPr>
                <w:spacing w:val="-2"/>
              </w:rPr>
            </w:pPr>
            <w:r w:rsidRPr="00824222">
              <w:tab/>
            </w:r>
          </w:p>
        </w:tc>
        <w:tc>
          <w:tcPr>
            <w:tcW w:w="270" w:type="dxa"/>
            <w:vMerge w:val="restart"/>
            <w:tcBorders>
              <w:top w:val="nil"/>
            </w:tcBorders>
            <w:vAlign w:val="bottom"/>
          </w:tcPr>
          <w:p w14:paraId="7AAFD4A9" w14:textId="77777777" w:rsidR="006B5AC5" w:rsidRPr="00824222" w:rsidRDefault="006B5AC5" w:rsidP="00204FDB">
            <w:pPr>
              <w:suppressAutoHyphens/>
              <w:jc w:val="center"/>
              <w:rPr>
                <w:spacing w:val="-2"/>
              </w:rPr>
            </w:pPr>
          </w:p>
        </w:tc>
        <w:tc>
          <w:tcPr>
            <w:tcW w:w="5220" w:type="dxa"/>
            <w:gridSpan w:val="4"/>
            <w:tcBorders>
              <w:top w:val="nil"/>
            </w:tcBorders>
            <w:vAlign w:val="bottom"/>
          </w:tcPr>
          <w:p w14:paraId="467E5CB1" w14:textId="77777777" w:rsidR="006B5AC5" w:rsidRPr="00824222" w:rsidRDefault="006B5AC5" w:rsidP="00204FDB">
            <w:pPr>
              <w:tabs>
                <w:tab w:val="left" w:pos="-720"/>
              </w:tabs>
              <w:suppressAutoHyphens/>
              <w:rPr>
                <w:spacing w:val="-2"/>
              </w:rPr>
            </w:pPr>
          </w:p>
        </w:tc>
      </w:tr>
      <w:tr w:rsidR="006B5AC5" w:rsidRPr="00824222" w14:paraId="6555F19E" w14:textId="77777777" w:rsidTr="00E622D6">
        <w:trPr>
          <w:trHeight w:val="432"/>
          <w:jc w:val="center"/>
        </w:trPr>
        <w:tc>
          <w:tcPr>
            <w:tcW w:w="3870" w:type="dxa"/>
            <w:gridSpan w:val="2"/>
            <w:tcBorders>
              <w:bottom w:val="nil"/>
            </w:tcBorders>
          </w:tcPr>
          <w:p w14:paraId="18914971" w14:textId="77777777" w:rsidR="006B5AC5" w:rsidRPr="00824222" w:rsidRDefault="006B5AC5" w:rsidP="006B5AC5">
            <w:pPr>
              <w:suppressAutoHyphens/>
              <w:rPr>
                <w:spacing w:val="-2"/>
              </w:rPr>
            </w:pPr>
            <w:r w:rsidRPr="00824222">
              <w:rPr>
                <w:spacing w:val="-2"/>
              </w:rPr>
              <w:t xml:space="preserve">Relocation </w:t>
            </w:r>
            <w:r w:rsidR="006178DF">
              <w:rPr>
                <w:spacing w:val="-2"/>
              </w:rPr>
              <w:t>Agent</w:t>
            </w:r>
            <w:r w:rsidRPr="00824222">
              <w:rPr>
                <w:spacing w:val="-2"/>
              </w:rPr>
              <w:t xml:space="preserve"> Signature</w:t>
            </w:r>
          </w:p>
        </w:tc>
        <w:tc>
          <w:tcPr>
            <w:tcW w:w="1440" w:type="dxa"/>
            <w:tcBorders>
              <w:bottom w:val="nil"/>
            </w:tcBorders>
          </w:tcPr>
          <w:p w14:paraId="18BB316B" w14:textId="77777777" w:rsidR="006B5AC5" w:rsidRPr="00824222" w:rsidRDefault="006B5AC5" w:rsidP="006B5AC5">
            <w:pPr>
              <w:suppressAutoHyphens/>
              <w:rPr>
                <w:spacing w:val="-2"/>
              </w:rPr>
            </w:pPr>
            <w:r w:rsidRPr="00824222">
              <w:rPr>
                <w:spacing w:val="-2"/>
              </w:rPr>
              <w:t>Date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6063A6A4" w14:textId="77777777" w:rsidR="006B5AC5" w:rsidRPr="00824222" w:rsidRDefault="006B5AC5" w:rsidP="006B5AC5">
            <w:pPr>
              <w:suppressAutoHyphens/>
              <w:rPr>
                <w:spacing w:val="-2"/>
              </w:rPr>
            </w:pPr>
          </w:p>
        </w:tc>
        <w:tc>
          <w:tcPr>
            <w:tcW w:w="3780" w:type="dxa"/>
            <w:gridSpan w:val="3"/>
            <w:tcBorders>
              <w:bottom w:val="nil"/>
            </w:tcBorders>
          </w:tcPr>
          <w:p w14:paraId="69FCDA6F" w14:textId="77777777" w:rsidR="006B5AC5" w:rsidRPr="00824222" w:rsidRDefault="006B5AC5" w:rsidP="006B5AC5">
            <w:pPr>
              <w:suppressAutoHyphens/>
              <w:rPr>
                <w:spacing w:val="-2"/>
              </w:rPr>
            </w:pPr>
            <w:r w:rsidRPr="00824222">
              <w:rPr>
                <w:spacing w:val="-2"/>
              </w:rPr>
              <w:t>Claimant Signature</w:t>
            </w:r>
          </w:p>
        </w:tc>
        <w:tc>
          <w:tcPr>
            <w:tcW w:w="1440" w:type="dxa"/>
            <w:tcBorders>
              <w:bottom w:val="nil"/>
            </w:tcBorders>
          </w:tcPr>
          <w:p w14:paraId="2454D401" w14:textId="77777777" w:rsidR="006B5AC5" w:rsidRPr="00824222" w:rsidRDefault="006B5AC5" w:rsidP="006B5AC5">
            <w:pPr>
              <w:suppressAutoHyphens/>
              <w:rPr>
                <w:spacing w:val="-2"/>
              </w:rPr>
            </w:pPr>
            <w:r w:rsidRPr="00824222">
              <w:rPr>
                <w:spacing w:val="-2"/>
              </w:rPr>
              <w:t>Date</w:t>
            </w:r>
          </w:p>
        </w:tc>
      </w:tr>
      <w:tr w:rsidR="006B5AC5" w:rsidRPr="00824222" w14:paraId="0BEE05A5" w14:textId="77777777" w:rsidTr="00824222">
        <w:trPr>
          <w:trHeight w:val="432"/>
          <w:jc w:val="center"/>
        </w:trPr>
        <w:tc>
          <w:tcPr>
            <w:tcW w:w="5310" w:type="dxa"/>
            <w:gridSpan w:val="3"/>
            <w:tcBorders>
              <w:top w:val="nil"/>
              <w:bottom w:val="nil"/>
            </w:tcBorders>
            <w:vAlign w:val="bottom"/>
          </w:tcPr>
          <w:p w14:paraId="2D2330A3" w14:textId="77777777" w:rsidR="006B5AC5" w:rsidRPr="00824222" w:rsidRDefault="00A9484E" w:rsidP="00EC60A5">
            <w:pPr>
              <w:suppressAutoHyphens/>
              <w:rPr>
                <w:spacing w:val="-2"/>
              </w:rPr>
            </w:pPr>
            <w:r w:rsidRPr="00824222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ReloSpecName##"/>
                  </w:textInput>
                </w:ffData>
              </w:fldChar>
            </w:r>
            <w:r w:rsidR="00824222" w:rsidRPr="00824222">
              <w:rPr>
                <w:spacing w:val="-2"/>
              </w:rPr>
              <w:instrText xml:space="preserve"> FORMTEXT </w:instrText>
            </w:r>
            <w:r w:rsidR="00FC22B1">
              <w:rPr>
                <w:spacing w:val="-2"/>
              </w:rPr>
            </w:r>
            <w:r w:rsidR="00FC22B1">
              <w:rPr>
                <w:spacing w:val="-2"/>
              </w:rPr>
              <w:fldChar w:fldCharType="separate"/>
            </w:r>
            <w:r w:rsidRPr="00824222">
              <w:rPr>
                <w:spacing w:val="-2"/>
              </w:rPr>
              <w:fldChar w:fldCharType="end"/>
            </w:r>
          </w:p>
        </w:tc>
        <w:tc>
          <w:tcPr>
            <w:tcW w:w="270" w:type="dxa"/>
            <w:vMerge/>
            <w:tcBorders>
              <w:top w:val="nil"/>
            </w:tcBorders>
            <w:vAlign w:val="bottom"/>
          </w:tcPr>
          <w:p w14:paraId="3A0DA8D1" w14:textId="77777777" w:rsidR="006B5AC5" w:rsidRPr="00824222" w:rsidRDefault="006B5AC5" w:rsidP="006B5AC5">
            <w:pPr>
              <w:suppressAutoHyphens/>
              <w:rPr>
                <w:spacing w:val="-2"/>
              </w:rPr>
            </w:pPr>
          </w:p>
        </w:tc>
        <w:tc>
          <w:tcPr>
            <w:tcW w:w="5220" w:type="dxa"/>
            <w:gridSpan w:val="4"/>
            <w:tcBorders>
              <w:top w:val="nil"/>
              <w:bottom w:val="nil"/>
            </w:tcBorders>
            <w:vAlign w:val="bottom"/>
          </w:tcPr>
          <w:p w14:paraId="39123E55" w14:textId="77777777" w:rsidR="006B5AC5" w:rsidRPr="00824222" w:rsidRDefault="00A9484E" w:rsidP="006B5AC5">
            <w:pPr>
              <w:suppressAutoHyphens/>
              <w:rPr>
                <w:spacing w:val="-2"/>
              </w:rPr>
            </w:pPr>
            <w:r w:rsidRPr="00824222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5AC5" w:rsidRPr="00824222">
              <w:rPr>
                <w:spacing w:val="-2"/>
              </w:rPr>
              <w:instrText xml:space="preserve"> FORMTEXT </w:instrText>
            </w:r>
            <w:r w:rsidRPr="00824222">
              <w:rPr>
                <w:spacing w:val="-2"/>
              </w:rPr>
            </w:r>
            <w:r w:rsidRPr="00824222">
              <w:rPr>
                <w:spacing w:val="-2"/>
              </w:rPr>
              <w:fldChar w:fldCharType="separate"/>
            </w:r>
            <w:r w:rsidR="006B5AC5" w:rsidRPr="00824222">
              <w:rPr>
                <w:noProof/>
                <w:spacing w:val="-2"/>
              </w:rPr>
              <w:t> </w:t>
            </w:r>
            <w:r w:rsidR="006B5AC5" w:rsidRPr="00824222">
              <w:rPr>
                <w:noProof/>
                <w:spacing w:val="-2"/>
              </w:rPr>
              <w:t> </w:t>
            </w:r>
            <w:r w:rsidR="006B5AC5" w:rsidRPr="00824222">
              <w:rPr>
                <w:noProof/>
                <w:spacing w:val="-2"/>
              </w:rPr>
              <w:t> </w:t>
            </w:r>
            <w:r w:rsidR="006B5AC5" w:rsidRPr="00824222">
              <w:rPr>
                <w:noProof/>
                <w:spacing w:val="-2"/>
              </w:rPr>
              <w:t> </w:t>
            </w:r>
            <w:r w:rsidR="006B5AC5" w:rsidRPr="00824222">
              <w:rPr>
                <w:noProof/>
                <w:spacing w:val="-2"/>
              </w:rPr>
              <w:t> </w:t>
            </w:r>
            <w:r w:rsidRPr="00824222">
              <w:rPr>
                <w:spacing w:val="-2"/>
              </w:rPr>
              <w:fldChar w:fldCharType="end"/>
            </w:r>
          </w:p>
        </w:tc>
      </w:tr>
      <w:tr w:rsidR="006B5AC5" w:rsidRPr="00824222" w14:paraId="440D0683" w14:textId="77777777" w:rsidTr="00824222">
        <w:trPr>
          <w:trHeight w:val="432"/>
          <w:jc w:val="center"/>
        </w:trPr>
        <w:tc>
          <w:tcPr>
            <w:tcW w:w="5310" w:type="dxa"/>
            <w:gridSpan w:val="3"/>
            <w:tcBorders>
              <w:bottom w:val="nil"/>
            </w:tcBorders>
          </w:tcPr>
          <w:p w14:paraId="455B3859" w14:textId="77777777" w:rsidR="006B5AC5" w:rsidRPr="00824222" w:rsidRDefault="006B5AC5" w:rsidP="006B5AC5">
            <w:pPr>
              <w:suppressAutoHyphens/>
              <w:rPr>
                <w:spacing w:val="-2"/>
              </w:rPr>
            </w:pPr>
            <w:r w:rsidRPr="00824222">
              <w:rPr>
                <w:spacing w:val="-2"/>
              </w:rPr>
              <w:t>Print name</w:t>
            </w:r>
          </w:p>
        </w:tc>
        <w:tc>
          <w:tcPr>
            <w:tcW w:w="270" w:type="dxa"/>
            <w:vMerge/>
          </w:tcPr>
          <w:p w14:paraId="578D8B04" w14:textId="77777777" w:rsidR="006B5AC5" w:rsidRPr="00824222" w:rsidRDefault="006B5AC5" w:rsidP="006B5AC5">
            <w:pPr>
              <w:suppressAutoHyphens/>
              <w:rPr>
                <w:spacing w:val="-2"/>
              </w:rPr>
            </w:pPr>
          </w:p>
        </w:tc>
        <w:tc>
          <w:tcPr>
            <w:tcW w:w="5220" w:type="dxa"/>
            <w:gridSpan w:val="4"/>
            <w:tcBorders>
              <w:bottom w:val="nil"/>
            </w:tcBorders>
          </w:tcPr>
          <w:p w14:paraId="6C1B0CBD" w14:textId="77777777" w:rsidR="006B5AC5" w:rsidRDefault="006B5AC5" w:rsidP="006B5AC5">
            <w:pPr>
              <w:suppressAutoHyphens/>
              <w:rPr>
                <w:spacing w:val="-2"/>
              </w:rPr>
            </w:pPr>
            <w:r w:rsidRPr="00824222">
              <w:rPr>
                <w:spacing w:val="-2"/>
              </w:rPr>
              <w:t>Print Name</w:t>
            </w:r>
          </w:p>
          <w:p w14:paraId="64C4AB44" w14:textId="77777777" w:rsidR="00F95570" w:rsidRDefault="00F95570" w:rsidP="006B5AC5">
            <w:pPr>
              <w:suppressAutoHyphens/>
              <w:rPr>
                <w:spacing w:val="-2"/>
              </w:rPr>
            </w:pPr>
          </w:p>
          <w:p w14:paraId="67EB2C3D" w14:textId="77777777" w:rsidR="00F95570" w:rsidRPr="00824222" w:rsidRDefault="00F95570" w:rsidP="006B5AC5">
            <w:pPr>
              <w:suppressAutoHyphens/>
              <w:rPr>
                <w:spacing w:val="-2"/>
              </w:rPr>
            </w:pPr>
          </w:p>
        </w:tc>
      </w:tr>
      <w:tr w:rsidR="006B5AC5" w:rsidRPr="00824222" w14:paraId="33CAF865" w14:textId="77777777" w:rsidTr="001200A9">
        <w:trPr>
          <w:trHeight w:val="576"/>
          <w:jc w:val="center"/>
        </w:trPr>
        <w:tc>
          <w:tcPr>
            <w:tcW w:w="270" w:type="dxa"/>
            <w:tcBorders>
              <w:bottom w:val="nil"/>
            </w:tcBorders>
          </w:tcPr>
          <w:p w14:paraId="42BFAE13" w14:textId="77777777" w:rsidR="006B5AC5" w:rsidRPr="00824222" w:rsidRDefault="006B5AC5" w:rsidP="006B5AC5">
            <w:pPr>
              <w:suppressAutoHyphens/>
              <w:rPr>
                <w:spacing w:val="-2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4E85EA9D" w14:textId="77777777" w:rsidR="006B5AC5" w:rsidRPr="00824222" w:rsidRDefault="001200A9" w:rsidP="006B5AC5">
            <w:pPr>
              <w:suppressAutoHyphens/>
              <w:rPr>
                <w:spacing w:val="-2"/>
              </w:rPr>
            </w:pPr>
            <w:r>
              <w:rPr>
                <w:spacing w:val="-1"/>
              </w:rPr>
              <w:t>Airport</w:t>
            </w:r>
          </w:p>
          <w:p w14:paraId="02866F77" w14:textId="77777777" w:rsidR="006B5AC5" w:rsidRPr="00824222" w:rsidRDefault="00A9484E" w:rsidP="00EC60A5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PR_project_no##"/>
                  </w:textInput>
                </w:ffData>
              </w:fldChar>
            </w:r>
            <w:r w:rsidR="00824222">
              <w:rPr>
                <w:spacing w:val="-2"/>
              </w:rPr>
              <w:instrText xml:space="preserve"> FORMTEXT </w:instrText>
            </w:r>
            <w:r w:rsidR="00FC22B1">
              <w:rPr>
                <w:spacing w:val="-2"/>
              </w:rPr>
            </w:r>
            <w:r w:rsidR="00FC22B1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4410" w:type="dxa"/>
            <w:gridSpan w:val="3"/>
          </w:tcPr>
          <w:p w14:paraId="7A6EE751" w14:textId="77777777" w:rsidR="006B5AC5" w:rsidRPr="00824222" w:rsidRDefault="009868FA" w:rsidP="006B5AC5">
            <w:pPr>
              <w:suppressAutoHyphens/>
              <w:rPr>
                <w:spacing w:val="-2"/>
              </w:rPr>
            </w:pPr>
            <w:r>
              <w:rPr>
                <w:spacing w:val="-1"/>
              </w:rPr>
              <w:t xml:space="preserve">BOA </w:t>
            </w:r>
            <w:r w:rsidR="001200A9">
              <w:rPr>
                <w:spacing w:val="-1"/>
              </w:rPr>
              <w:t xml:space="preserve">Project </w:t>
            </w:r>
            <w:r>
              <w:rPr>
                <w:spacing w:val="-1"/>
              </w:rPr>
              <w:t>No.</w:t>
            </w:r>
          </w:p>
          <w:p w14:paraId="0BAD0C63" w14:textId="77777777" w:rsidR="006B5AC5" w:rsidRPr="00824222" w:rsidRDefault="00A9484E" w:rsidP="00EC60A5">
            <w:pPr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PR_highway##"/>
                  </w:textInput>
                </w:ffData>
              </w:fldChar>
            </w:r>
            <w:r w:rsidR="00824222">
              <w:rPr>
                <w:spacing w:val="-2"/>
              </w:rPr>
              <w:instrText xml:space="preserve"> FORMTEXT </w:instrText>
            </w:r>
            <w:r w:rsidR="00FC22B1">
              <w:rPr>
                <w:spacing w:val="-2"/>
              </w:rPr>
            </w:r>
            <w:r w:rsidR="00FC22B1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360" w:type="dxa"/>
            <w:tcBorders>
              <w:bottom w:val="nil"/>
            </w:tcBorders>
          </w:tcPr>
          <w:p w14:paraId="08C0E30C" w14:textId="77777777" w:rsidR="006B5AC5" w:rsidRPr="00824222" w:rsidRDefault="006B5AC5" w:rsidP="00EC60A5">
            <w:pPr>
              <w:suppressAutoHyphens/>
              <w:rPr>
                <w:spacing w:val="-2"/>
              </w:rPr>
            </w:pPr>
          </w:p>
        </w:tc>
        <w:tc>
          <w:tcPr>
            <w:tcW w:w="2160" w:type="dxa"/>
            <w:gridSpan w:val="2"/>
            <w:tcBorders>
              <w:bottom w:val="nil"/>
            </w:tcBorders>
          </w:tcPr>
          <w:p w14:paraId="6AD2F5DC" w14:textId="77777777" w:rsidR="006B5AC5" w:rsidRPr="00824222" w:rsidRDefault="006B5AC5" w:rsidP="006B5AC5">
            <w:pPr>
              <w:suppressAutoHyphens/>
              <w:rPr>
                <w:spacing w:val="-2"/>
              </w:rPr>
            </w:pPr>
            <w:r w:rsidRPr="00824222">
              <w:rPr>
                <w:spacing w:val="-1"/>
              </w:rPr>
              <w:t>Parcel</w:t>
            </w:r>
          </w:p>
          <w:p w14:paraId="3A2EE319" w14:textId="77777777" w:rsidR="006B5AC5" w:rsidRPr="00824222" w:rsidRDefault="00A9484E" w:rsidP="00EC60A5">
            <w:pPr>
              <w:suppressAutoHyphens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ase_no##"/>
                  </w:textInput>
                </w:ffData>
              </w:fldChar>
            </w:r>
            <w:r w:rsidR="00824222">
              <w:rPr>
                <w:spacing w:val="-2"/>
              </w:rPr>
              <w:instrText xml:space="preserve"> FORMTEXT </w:instrText>
            </w:r>
            <w:r w:rsidR="00FC22B1">
              <w:rPr>
                <w:spacing w:val="-2"/>
              </w:rPr>
            </w:r>
            <w:r w:rsidR="00FC22B1">
              <w:rPr>
                <w:spacing w:val="-2"/>
              </w:rPr>
              <w:fldChar w:fldCharType="separate"/>
            </w:r>
            <w:r>
              <w:rPr>
                <w:spacing w:val="-2"/>
              </w:rPr>
              <w:fldChar w:fldCharType="end"/>
            </w:r>
          </w:p>
        </w:tc>
      </w:tr>
    </w:tbl>
    <w:p w14:paraId="0CA80B05" w14:textId="77777777" w:rsidR="00827CE6" w:rsidRPr="00853A3A" w:rsidRDefault="00827CE6" w:rsidP="006B5AC5"/>
    <w:sectPr w:rsidR="00827CE6" w:rsidRPr="00853A3A" w:rsidSect="00211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F2DB3" w14:textId="77777777" w:rsidR="001200A9" w:rsidRDefault="001200A9" w:rsidP="00EC60A5">
      <w:r>
        <w:separator/>
      </w:r>
    </w:p>
  </w:endnote>
  <w:endnote w:type="continuationSeparator" w:id="0">
    <w:p w14:paraId="3A68D696" w14:textId="77777777" w:rsidR="001200A9" w:rsidRDefault="001200A9" w:rsidP="00EC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DEB25" w14:textId="77777777" w:rsidR="001200A9" w:rsidRDefault="0012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EAE8D" w14:textId="77777777" w:rsidR="001200A9" w:rsidRDefault="0012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01A3E" w14:textId="77777777" w:rsidR="001200A9" w:rsidRDefault="0012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B7FE3" w14:textId="77777777" w:rsidR="001200A9" w:rsidRDefault="001200A9" w:rsidP="00EC60A5">
      <w:r>
        <w:separator/>
      </w:r>
    </w:p>
  </w:footnote>
  <w:footnote w:type="continuationSeparator" w:id="0">
    <w:p w14:paraId="5B05E641" w14:textId="77777777" w:rsidR="001200A9" w:rsidRDefault="001200A9" w:rsidP="00EC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123F" w14:textId="77777777" w:rsidR="001200A9" w:rsidRDefault="0012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2D034" w14:textId="77777777" w:rsidR="001200A9" w:rsidRDefault="001200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A3E8A" w14:textId="77777777" w:rsidR="001200A9" w:rsidRDefault="0012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0FAE49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2EB6298"/>
    <w:multiLevelType w:val="multilevel"/>
    <w:tmpl w:val="D3503106"/>
    <w:lvl w:ilvl="0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</w:abstractNum>
  <w:abstractNum w:abstractNumId="2" w15:restartNumberingAfterBreak="0">
    <w:nsid w:val="3DB87288"/>
    <w:multiLevelType w:val="hybridMultilevel"/>
    <w:tmpl w:val="071E7236"/>
    <w:lvl w:ilvl="0" w:tplc="E8221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7B48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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  <w:sz w:val="54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0"/>
  <w:defaultTabStop w:val="720"/>
  <w:doNotHyphenateCap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3A"/>
    <w:rsid w:val="00052971"/>
    <w:rsid w:val="00081B39"/>
    <w:rsid w:val="000C44C2"/>
    <w:rsid w:val="001127A9"/>
    <w:rsid w:val="001200A9"/>
    <w:rsid w:val="00204FDB"/>
    <w:rsid w:val="0021142F"/>
    <w:rsid w:val="00234195"/>
    <w:rsid w:val="00240044"/>
    <w:rsid w:val="00244DC1"/>
    <w:rsid w:val="00292535"/>
    <w:rsid w:val="002A761F"/>
    <w:rsid w:val="002F20A1"/>
    <w:rsid w:val="004C342A"/>
    <w:rsid w:val="00607D15"/>
    <w:rsid w:val="006178DF"/>
    <w:rsid w:val="006B5AC5"/>
    <w:rsid w:val="007A30C7"/>
    <w:rsid w:val="007C0456"/>
    <w:rsid w:val="00824222"/>
    <w:rsid w:val="00827CE6"/>
    <w:rsid w:val="00853A3A"/>
    <w:rsid w:val="0097508F"/>
    <w:rsid w:val="009868FA"/>
    <w:rsid w:val="00A9484E"/>
    <w:rsid w:val="00B32C22"/>
    <w:rsid w:val="00BF4B00"/>
    <w:rsid w:val="00C36FBC"/>
    <w:rsid w:val="00D80156"/>
    <w:rsid w:val="00E371C5"/>
    <w:rsid w:val="00E53943"/>
    <w:rsid w:val="00E622D6"/>
    <w:rsid w:val="00EC60A5"/>
    <w:rsid w:val="00F95570"/>
    <w:rsid w:val="00FC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0AEFF"/>
  <w15:docId w15:val="{23E82ACE-D67D-4900-8C05-9977F65E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42F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42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A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6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0A5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EC6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60A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F74EC6-CFA7-4DB2-A23F-AA54F809998E}"/>
</file>

<file path=customXml/itemProps2.xml><?xml version="1.0" encoding="utf-8"?>
<ds:datastoreItem xmlns:ds="http://schemas.openxmlformats.org/officeDocument/2006/customXml" ds:itemID="{94611313-8027-4A4E-AB1A-2E3295FB554E}"/>
</file>

<file path=customXml/itemProps3.xml><?xml version="1.0" encoding="utf-8"?>
<ds:datastoreItem xmlns:ds="http://schemas.openxmlformats.org/officeDocument/2006/customXml" ds:itemID="{3EE89B9E-EEF5-435B-A0A9-ECE7FC05BB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DT2266 Self-Move Agreement</vt:lpstr>
    </vt:vector>
  </TitlesOfParts>
  <Company>WisDOT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Self-Move Agreement</dc:title>
  <dc:subject>Self-Move Agreement</dc:subject>
  <dc:creator>WisDOT Real Estate</dc:creator>
  <cp:keywords>self, move, agreement, BOA, airport</cp:keywords>
  <cp:lastModifiedBy>Rodefeld, Joseph - DOT</cp:lastModifiedBy>
  <cp:revision>3</cp:revision>
  <cp:lastPrinted>2015-07-24T16:24:00Z</cp:lastPrinted>
  <dcterms:created xsi:type="dcterms:W3CDTF">2020-11-02T16:16:00Z</dcterms:created>
  <dcterms:modified xsi:type="dcterms:W3CDTF">2020-11-02T18:20:00Z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